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4921" w14:textId="28059D9A" w:rsidR="00D90788" w:rsidRPr="00D90788" w:rsidRDefault="00AD5A5D" w:rsidP="00CC3F2D">
      <w:pPr>
        <w:pStyle w:val="Paragraphedeliste"/>
        <w:tabs>
          <w:tab w:val="left" w:pos="-720"/>
        </w:tabs>
        <w:suppressAutoHyphens/>
        <w:ind w:right="146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5CC7E" wp14:editId="385658D1">
                <wp:simplePos x="0" y="0"/>
                <wp:positionH relativeFrom="column">
                  <wp:posOffset>-185420</wp:posOffset>
                </wp:positionH>
                <wp:positionV relativeFrom="paragraph">
                  <wp:posOffset>-680720</wp:posOffset>
                </wp:positionV>
                <wp:extent cx="1457325" cy="80899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50E3" w14:textId="77777777" w:rsidR="00D90788" w:rsidRDefault="00D90788" w:rsidP="00D90788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027CC62" wp14:editId="7F3C18F1">
                                  <wp:extent cx="1019175" cy="714375"/>
                                  <wp:effectExtent l="0" t="0" r="9525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565" cy="71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5CC7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4.6pt;margin-top:-53.6pt;width:114.75pt;height:6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IngwIAAGcFAAAOAAAAZHJzL2Uyb0RvYy54bWysVFFPGzEMfp+0/xDlfVxbCis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" filled="f" stroked="f" strokeweight=".5pt">
                <v:textbox>
                  <w:txbxContent>
                    <w:p w14:paraId="0FC250E3" w14:textId="77777777" w:rsidR="00D90788" w:rsidRDefault="00D90788" w:rsidP="00D90788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027CC62" wp14:editId="7F3C18F1">
                            <wp:extent cx="1019175" cy="714375"/>
                            <wp:effectExtent l="0" t="0" r="9525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565" cy="715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93C55" wp14:editId="55062BEC">
                <wp:simplePos x="0" y="0"/>
                <wp:positionH relativeFrom="margin">
                  <wp:posOffset>2337435</wp:posOffset>
                </wp:positionH>
                <wp:positionV relativeFrom="paragraph">
                  <wp:posOffset>-671195</wp:posOffset>
                </wp:positionV>
                <wp:extent cx="1524000" cy="8858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A39F3" w14:textId="77777777" w:rsidR="00D90788" w:rsidRDefault="00D90788" w:rsidP="00D90788">
                            <w:r w:rsidRPr="00743F0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BC18439" wp14:editId="7AD18223">
                                  <wp:extent cx="1295400" cy="752415"/>
                                  <wp:effectExtent l="0" t="0" r="0" b="0"/>
                                  <wp:docPr id="5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/>
                                          <a:srcRect l="9638" t="3521" r="10842" b="253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015" cy="753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3C55" id="Zone de texte 6" o:spid="_x0000_s1027" type="#_x0000_t202" style="position:absolute;left:0;text-align:left;margin-left:184.05pt;margin-top:-52.85pt;width:120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" filled="f" stroked="f" strokeweight=".5pt">
                <v:textbox>
                  <w:txbxContent>
                    <w:p w14:paraId="1D4A39F3" w14:textId="77777777" w:rsidR="00D90788" w:rsidRDefault="00D90788" w:rsidP="00D90788">
                      <w:r w:rsidRPr="00743F0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BC18439" wp14:editId="7AD18223">
                            <wp:extent cx="1295400" cy="752415"/>
                            <wp:effectExtent l="0" t="0" r="0" b="0"/>
                            <wp:docPr id="5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/>
                                    <a:srcRect l="9638" t="3521" r="10842" b="253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7015" cy="753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C3467" wp14:editId="7A7BF6EE">
                <wp:simplePos x="0" y="0"/>
                <wp:positionH relativeFrom="margin">
                  <wp:posOffset>4815205</wp:posOffset>
                </wp:positionH>
                <wp:positionV relativeFrom="paragraph">
                  <wp:posOffset>-833120</wp:posOffset>
                </wp:positionV>
                <wp:extent cx="1057275" cy="12001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6F101" w14:textId="77777777" w:rsidR="00D90788" w:rsidRDefault="00D90788" w:rsidP="00D90788">
                            <w:r w:rsidRPr="0009394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37021B" wp14:editId="31D2A1BF">
                                  <wp:extent cx="904875" cy="10953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3467" id="Zone de texte 7" o:spid="_x0000_s1028" type="#_x0000_t202" style="position:absolute;left:0;text-align:left;margin-left:379.15pt;margin-top:-65.6pt;width:83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" filled="f" stroked="f" strokeweight=".5pt">
                <v:textbox>
                  <w:txbxContent>
                    <w:p w14:paraId="3226F101" w14:textId="77777777" w:rsidR="00D90788" w:rsidRDefault="00D90788" w:rsidP="00D90788">
                      <w:r w:rsidRPr="0009394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37021B" wp14:editId="31D2A1BF">
                            <wp:extent cx="904875" cy="10953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3C5A9" w14:textId="77777777" w:rsidR="007826F7" w:rsidRDefault="007826F7" w:rsidP="007826F7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D36D8" w14:textId="7A174F8D" w:rsidR="007826F7" w:rsidRPr="00CC3F2D" w:rsidRDefault="007826F7" w:rsidP="007826F7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2D">
        <w:rPr>
          <w:rFonts w:ascii="Times New Roman" w:hAnsi="Times New Roman" w:cs="Times New Roman"/>
          <w:b/>
          <w:sz w:val="28"/>
          <w:szCs w:val="28"/>
        </w:rPr>
        <w:t>PUBLICATION DE VULGARISATION/VALORISATION</w:t>
      </w:r>
    </w:p>
    <w:p w14:paraId="07D2E4E6" w14:textId="77777777" w:rsidR="007826F7" w:rsidRDefault="007826F7" w:rsidP="00CC3F2D">
      <w:pPr>
        <w:tabs>
          <w:tab w:val="left" w:pos="134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308D793" w14:textId="4BAE40EF" w:rsidR="00D90788" w:rsidRPr="00CC3F2D" w:rsidRDefault="00D90788" w:rsidP="00CC3F2D">
      <w:pPr>
        <w:tabs>
          <w:tab w:val="left" w:pos="134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3F2D">
        <w:rPr>
          <w:rFonts w:ascii="Times New Roman" w:hAnsi="Times New Roman" w:cs="Times New Roman"/>
          <w:b/>
          <w:sz w:val="28"/>
          <w:szCs w:val="28"/>
        </w:rPr>
        <w:t xml:space="preserve">Numéro d’identification unique : </w:t>
      </w:r>
      <w:r w:rsidR="007D0EBE">
        <w:rPr>
          <w:rFonts w:ascii="Times New Roman" w:hAnsi="Times New Roman" w:cs="Times New Roman"/>
          <w:b/>
          <w:sz w:val="28"/>
          <w:szCs w:val="28"/>
        </w:rPr>
        <w:t>CNRST/IRSAT/DV/2019-007</w:t>
      </w:r>
      <w:bookmarkStart w:id="0" w:name="_GoBack"/>
      <w:bookmarkEnd w:id="0"/>
    </w:p>
    <w:p w14:paraId="08932DA8" w14:textId="77777777" w:rsidR="00CC3F2D" w:rsidRPr="00CC3F2D" w:rsidRDefault="00CC3F2D" w:rsidP="00CC3F2D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30235" w14:textId="7E20D286" w:rsidR="00D90788" w:rsidRPr="00CC3F2D" w:rsidRDefault="00D90788" w:rsidP="00CC3F2D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2D">
        <w:rPr>
          <w:rFonts w:ascii="Times New Roman" w:hAnsi="Times New Roman" w:cs="Times New Roman"/>
          <w:b/>
          <w:sz w:val="28"/>
          <w:szCs w:val="28"/>
        </w:rPr>
        <w:t>Guide pour le calcul de la densité de courant limite dans un procédé d’électrocoagulation continu à recirculation</w:t>
      </w:r>
    </w:p>
    <w:p w14:paraId="78ED8E3F" w14:textId="77777777" w:rsidR="00D90788" w:rsidRDefault="00D90788" w:rsidP="00D90788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</w:p>
    <w:p w14:paraId="047892A6" w14:textId="6E9060BF" w:rsidR="00D90788" w:rsidRPr="00352CAF" w:rsidRDefault="007826F7" w:rsidP="00D90788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D90788">
        <w:rPr>
          <w:rFonts w:ascii="Times New Roman" w:hAnsi="Times New Roman" w:cs="Times New Roman"/>
          <w:sz w:val="24"/>
          <w:szCs w:val="24"/>
        </w:rPr>
        <w:t>ZONGO</w:t>
      </w:r>
      <w:r w:rsidR="0056137B" w:rsidRPr="00D90788">
        <w:rPr>
          <w:rFonts w:ascii="Times New Roman" w:hAnsi="Times New Roman" w:cs="Times New Roman"/>
          <w:sz w:val="24"/>
          <w:szCs w:val="24"/>
        </w:rPr>
        <w:t xml:space="preserve"> </w:t>
      </w:r>
      <w:r w:rsidR="00D90788" w:rsidRPr="00D90788">
        <w:rPr>
          <w:rFonts w:ascii="Times New Roman" w:hAnsi="Times New Roman" w:cs="Times New Roman"/>
          <w:sz w:val="24"/>
          <w:szCs w:val="24"/>
        </w:rPr>
        <w:t>Inoussa</w:t>
      </w:r>
      <w:r w:rsidR="00D90788" w:rsidRPr="00D907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90788" w:rsidRPr="00D907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KABORE</w:t>
      </w:r>
      <w:r w:rsidR="0056137B" w:rsidRPr="00D90788">
        <w:rPr>
          <w:rFonts w:ascii="Times New Roman" w:hAnsi="Times New Roman" w:cs="Times New Roman"/>
          <w:sz w:val="24"/>
          <w:szCs w:val="24"/>
        </w:rPr>
        <w:t xml:space="preserve"> </w:t>
      </w:r>
      <w:r w:rsidR="00D90788" w:rsidRPr="00D90788">
        <w:rPr>
          <w:rFonts w:ascii="Times New Roman" w:hAnsi="Times New Roman" w:cs="Times New Roman"/>
          <w:sz w:val="24"/>
          <w:szCs w:val="24"/>
        </w:rPr>
        <w:t>Aminata</w:t>
      </w:r>
      <w:r w:rsidR="00D90788" w:rsidRPr="00D907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0788" w:rsidRPr="00D907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COMPAORE</w:t>
      </w:r>
      <w:r w:rsidRPr="00D90788">
        <w:rPr>
          <w:rFonts w:ascii="Times New Roman" w:hAnsi="Times New Roman" w:cs="Times New Roman"/>
          <w:sz w:val="24"/>
          <w:szCs w:val="24"/>
        </w:rPr>
        <w:t xml:space="preserve"> </w:t>
      </w:r>
      <w:r w:rsidR="00D90788" w:rsidRPr="00D90788">
        <w:rPr>
          <w:rFonts w:ascii="Times New Roman" w:hAnsi="Times New Roman" w:cs="Times New Roman"/>
          <w:sz w:val="24"/>
          <w:szCs w:val="24"/>
        </w:rPr>
        <w:t>Jérôme</w:t>
      </w:r>
      <w:r w:rsidR="00D9078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09EA81F" w14:textId="77777777" w:rsidR="00D90788" w:rsidRPr="00743F01" w:rsidRDefault="00D90788" w:rsidP="00D90788">
      <w:pPr>
        <w:pStyle w:val="Default"/>
        <w:spacing w:line="360" w:lineRule="auto"/>
        <w:ind w:left="720"/>
        <w:jc w:val="center"/>
      </w:pPr>
      <w:r w:rsidRPr="00743F01">
        <w:rPr>
          <w:vertAlign w:val="superscript"/>
        </w:rPr>
        <w:t>1</w:t>
      </w:r>
      <w:r w:rsidRPr="00743F01">
        <w:t>Institut de Recherche en Sciences Appliquées et Technologies</w:t>
      </w:r>
      <w:r>
        <w:t xml:space="preserve"> (IRSAT)</w:t>
      </w:r>
      <w:r w:rsidRPr="00743F01">
        <w:t>, 03 BP 7047</w:t>
      </w:r>
      <w:r>
        <w:t xml:space="preserve"> Ouaga 03</w:t>
      </w:r>
      <w:r w:rsidRPr="00743F01">
        <w:t>, Burkina Faso</w:t>
      </w:r>
    </w:p>
    <w:p w14:paraId="01A4817C" w14:textId="77777777" w:rsidR="00D90788" w:rsidRPr="00743F01" w:rsidRDefault="00D90788" w:rsidP="00D90788">
      <w:pPr>
        <w:pStyle w:val="Default"/>
        <w:spacing w:line="360" w:lineRule="auto"/>
        <w:ind w:left="720"/>
        <w:jc w:val="center"/>
      </w:pPr>
      <w:r w:rsidRPr="00743F01">
        <w:rPr>
          <w:vertAlign w:val="superscript"/>
        </w:rPr>
        <w:t>2</w:t>
      </w:r>
      <w:r w:rsidRPr="00743F01">
        <w:t>Institut de l’Environnement et de Recherches Agricoles (INERA), 04 BP 8645</w:t>
      </w:r>
      <w:r>
        <w:t xml:space="preserve"> Ouaga 04</w:t>
      </w:r>
      <w:r w:rsidRPr="00743F01">
        <w:t>, Burkina Faso</w:t>
      </w:r>
    </w:p>
    <w:p w14:paraId="194A3228" w14:textId="3E3DCDC7" w:rsidR="007038AF" w:rsidRPr="00D90788" w:rsidRDefault="00D1211F" w:rsidP="00757F57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AD">
        <w:rPr>
          <w:rFonts w:ascii="Times New Roman" w:hAnsi="Times New Roman" w:cs="Times New Roman"/>
          <w:b/>
          <w:sz w:val="24"/>
          <w:szCs w:val="28"/>
        </w:rPr>
        <w:t>Introduction</w:t>
      </w:r>
      <w:r w:rsidR="00D45729" w:rsidRPr="00D90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72E9DE" w14:textId="77777777" w:rsidR="00375453" w:rsidRPr="007038AF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F">
        <w:rPr>
          <w:rFonts w:ascii="Times New Roman" w:hAnsi="Times New Roman" w:cs="Times New Roman"/>
          <w:sz w:val="24"/>
          <w:szCs w:val="24"/>
        </w:rPr>
        <w:t xml:space="preserve">La réduction du chrome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hexavalent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 se produisant dans la cellule électrochimique par les </w:t>
      </w:r>
      <w:proofErr w:type="gramStart"/>
      <w:r w:rsidRPr="007038AF">
        <w:rPr>
          <w:rFonts w:ascii="Times New Roman" w:hAnsi="Times New Roman" w:cs="Times New Roman"/>
          <w:sz w:val="24"/>
          <w:szCs w:val="24"/>
        </w:rPr>
        <w:t>électrodes</w:t>
      </w:r>
      <w:proofErr w:type="gramEnd"/>
      <w:r w:rsidRPr="007038AF">
        <w:rPr>
          <w:rFonts w:ascii="Times New Roman" w:hAnsi="Times New Roman" w:cs="Times New Roman"/>
          <w:sz w:val="24"/>
          <w:szCs w:val="24"/>
        </w:rPr>
        <w:t xml:space="preserve"> d’aluminium et de fer, est sujette à des investigations diverses. Avec les électrodes de fer, le traitement du chrome (VI) a été modélisé en considérant la réaction chimique du fer (II) (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Pettine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 et al, 1998 ;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Mukhopadhyay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 et al, 2007), tout en prenant en compte l’oxydation du fer II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électrogénéré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 par l’oxygène </w:t>
      </w:r>
      <w:r w:rsidR="007038AF" w:rsidRPr="007038AF">
        <w:rPr>
          <w:rFonts w:ascii="Times New Roman" w:hAnsi="Times New Roman" w:cs="Times New Roman"/>
          <w:sz w:val="24"/>
          <w:szCs w:val="24"/>
        </w:rPr>
        <w:t>de l’air. Avec les électrodes</w:t>
      </w:r>
      <w:r w:rsidRPr="007038AF">
        <w:rPr>
          <w:rFonts w:ascii="Times New Roman" w:hAnsi="Times New Roman" w:cs="Times New Roman"/>
          <w:sz w:val="24"/>
          <w:szCs w:val="24"/>
        </w:rPr>
        <w:t xml:space="preserve"> d’aluminium, la diminution exponentielle du Cr au cours du traitement à une densité de courant donnée, observée par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Heidmann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Calmona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 (2007), est due à sa réduction électrochimique directe en suivant la stœchiométrie et dans les conditions de pH neutre à alcalin.         </w:t>
      </w:r>
    </w:p>
    <w:p w14:paraId="2982D27A" w14:textId="77777777" w:rsidR="00375453" w:rsidRPr="007038AF" w:rsidRDefault="00375453" w:rsidP="008D7E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038AF">
        <w:rPr>
          <w:rFonts w:ascii="Times New Roman" w:hAnsi="Times New Roman" w:cs="Times New Roman"/>
          <w:sz w:val="24"/>
          <w:szCs w:val="24"/>
          <w:lang w:val="pt-BR"/>
        </w:rPr>
        <w:t>CrO</w:t>
      </w:r>
      <w:r w:rsidRPr="007038A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038A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2- </w:t>
      </w:r>
      <w:r w:rsidRPr="007038AF">
        <w:rPr>
          <w:rFonts w:ascii="Times New Roman" w:hAnsi="Times New Roman" w:cs="Times New Roman"/>
          <w:sz w:val="24"/>
          <w:szCs w:val="24"/>
          <w:lang w:val="pt-BR"/>
        </w:rPr>
        <w:t>+ 4H</w:t>
      </w:r>
      <w:r w:rsidRPr="007038A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038AF">
        <w:rPr>
          <w:rFonts w:ascii="Times New Roman" w:hAnsi="Times New Roman" w:cs="Times New Roman"/>
          <w:sz w:val="24"/>
          <w:szCs w:val="24"/>
          <w:lang w:val="pt-BR"/>
        </w:rPr>
        <w:t>O + 3e</w:t>
      </w:r>
      <w:r w:rsidRPr="007038A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</w:t>
      </w:r>
      <w:r w:rsidRPr="007038AF">
        <w:rPr>
          <w:rFonts w:ascii="Times New Roman" w:hAnsi="Times New Roman" w:cs="Times New Roman"/>
          <w:sz w:val="24"/>
          <w:szCs w:val="24"/>
          <w:lang w:val="pt-BR"/>
        </w:rPr>
        <w:t xml:space="preserve"> = Cr(OH)</w:t>
      </w:r>
      <w:r w:rsidRPr="007038AF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038AF">
        <w:rPr>
          <w:rFonts w:ascii="Times New Roman" w:hAnsi="Times New Roman" w:cs="Times New Roman"/>
          <w:sz w:val="24"/>
          <w:szCs w:val="24"/>
          <w:lang w:val="pt-BR"/>
        </w:rPr>
        <w:t xml:space="preserve"> + 5OH</w:t>
      </w:r>
      <w:r w:rsidRPr="007038A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</w:t>
      </w:r>
      <w:r w:rsidRPr="007038A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ab/>
      </w:r>
      <w:r w:rsidRPr="007038A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ab/>
      </w:r>
      <w:r w:rsidRPr="007038A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ab/>
      </w:r>
      <w:r w:rsidRPr="007038A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ab/>
      </w:r>
      <w:r w:rsidRPr="007038AF">
        <w:rPr>
          <w:rFonts w:ascii="Times New Roman" w:hAnsi="Times New Roman" w:cs="Times New Roman"/>
          <w:sz w:val="24"/>
          <w:szCs w:val="24"/>
          <w:lang w:val="pt-BR"/>
        </w:rPr>
        <w:t>(1)</w:t>
      </w:r>
    </w:p>
    <w:p w14:paraId="1AD14A38" w14:textId="77777777" w:rsidR="00375453" w:rsidRPr="007038AF" w:rsidRDefault="00375453" w:rsidP="008D7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F">
        <w:rPr>
          <w:rFonts w:ascii="Times New Roman" w:hAnsi="Times New Roman" w:cs="Times New Roman"/>
          <w:sz w:val="24"/>
          <w:szCs w:val="24"/>
        </w:rPr>
        <w:t xml:space="preserve">On pense qu’avec le fer, en plus de la réduction électrochimique directe, il y a aussi une action redox chimique du fer II. Cette hypothèse a été rapportée par Barrera-Diaz et al (2003) et considéré par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Mukhopadhyay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 et al (2007) comme non corroborée.</w:t>
      </w:r>
    </w:p>
    <w:p w14:paraId="6A190D26" w14:textId="6F3ACB52" w:rsidR="00375453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F">
        <w:rPr>
          <w:rFonts w:ascii="Times New Roman" w:hAnsi="Times New Roman" w:cs="Times New Roman"/>
          <w:sz w:val="24"/>
          <w:szCs w:val="24"/>
        </w:rPr>
        <w:t>En plus de tout cela, quel pourrait être l’apport du dégagement d’hydrogène à la cathode dans le traitement du chrome (VI</w:t>
      </w:r>
      <w:proofErr w:type="gramStart"/>
      <w:r w:rsidRPr="007038AF">
        <w:rPr>
          <w:rFonts w:ascii="Times New Roman" w:hAnsi="Times New Roman" w:cs="Times New Roman"/>
          <w:sz w:val="24"/>
          <w:szCs w:val="24"/>
        </w:rPr>
        <w:t>)?</w:t>
      </w:r>
      <w:proofErr w:type="gramEnd"/>
      <w:r w:rsidR="00757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BB4D4" w14:textId="21610D0F" w:rsidR="00D90788" w:rsidRDefault="00D90788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guide s’adresse aux techniciens et ingénieurs </w:t>
      </w:r>
      <w:r w:rsidR="000025FD">
        <w:rPr>
          <w:rFonts w:ascii="Times New Roman" w:hAnsi="Times New Roman" w:cs="Times New Roman"/>
          <w:sz w:val="24"/>
          <w:szCs w:val="24"/>
        </w:rPr>
        <w:t>utilisant les</w:t>
      </w:r>
      <w:r>
        <w:rPr>
          <w:rFonts w:ascii="Times New Roman" w:hAnsi="Times New Roman" w:cs="Times New Roman"/>
          <w:sz w:val="24"/>
          <w:szCs w:val="24"/>
        </w:rPr>
        <w:t xml:space="preserve"> procédés électrochimiques notamment l’électrocoagulation pour leur permettre de déterminer de façon simple une méthode de calcul de la densité de courant utile pour leur procédé.</w:t>
      </w:r>
    </w:p>
    <w:p w14:paraId="3485748C" w14:textId="0A9B29D0" w:rsidR="00597CE8" w:rsidRPr="00953FAD" w:rsidRDefault="00D90788" w:rsidP="00757F57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53FAD">
        <w:rPr>
          <w:rFonts w:ascii="Times New Roman" w:hAnsi="Times New Roman" w:cs="Times New Roman"/>
          <w:b/>
          <w:sz w:val="24"/>
          <w:szCs w:val="28"/>
        </w:rPr>
        <w:t>Méthodologie</w:t>
      </w:r>
    </w:p>
    <w:p w14:paraId="7ED50103" w14:textId="77777777" w:rsidR="00375453" w:rsidRPr="001F5691" w:rsidRDefault="00375453" w:rsidP="00757F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lastRenderedPageBreak/>
        <w:t xml:space="preserve">Nous avons au niveau de l’électrode un transfert des espèces </w:t>
      </w:r>
      <w:proofErr w:type="spellStart"/>
      <w:r w:rsidRPr="001F5691">
        <w:rPr>
          <w:rFonts w:ascii="Times New Roman" w:hAnsi="Times New Roman" w:cs="Times New Roman"/>
        </w:rPr>
        <w:t>électroactives</w:t>
      </w:r>
      <w:proofErr w:type="spellEnd"/>
      <w:r w:rsidRPr="001F5691">
        <w:rPr>
          <w:rFonts w:ascii="Times New Roman" w:hAnsi="Times New Roman" w:cs="Times New Roman"/>
        </w:rPr>
        <w:t xml:space="preserve"> par convection et diffusion du liquide vers l’électrode, suivi par leur adsorption et les transferts de charge. Nous avons précisément dans ce cas d’espèce, la réduction électrochimique du CrO</w:t>
      </w:r>
      <w:r w:rsidRPr="001F5691">
        <w:rPr>
          <w:rFonts w:ascii="Times New Roman" w:hAnsi="Times New Roman" w:cs="Times New Roman"/>
          <w:vertAlign w:val="subscript"/>
        </w:rPr>
        <w:t>4</w:t>
      </w:r>
      <w:r w:rsidRPr="001F5691">
        <w:rPr>
          <w:rFonts w:ascii="Times New Roman" w:hAnsi="Times New Roman" w:cs="Times New Roman"/>
          <w:vertAlign w:val="superscript"/>
        </w:rPr>
        <w:t xml:space="preserve">2- </w:t>
      </w:r>
      <w:r w:rsidRPr="001F5691">
        <w:rPr>
          <w:rFonts w:ascii="Times New Roman" w:hAnsi="Times New Roman" w:cs="Times New Roman"/>
        </w:rPr>
        <w:t xml:space="preserve"> en Cr(OH)</w:t>
      </w:r>
      <w:r w:rsidRPr="001F5691">
        <w:rPr>
          <w:rFonts w:ascii="Times New Roman" w:hAnsi="Times New Roman" w:cs="Times New Roman"/>
          <w:vertAlign w:val="subscript"/>
        </w:rPr>
        <w:t>n</w:t>
      </w:r>
      <w:r w:rsidRPr="001F5691">
        <w:rPr>
          <w:rFonts w:ascii="Times New Roman" w:hAnsi="Times New Roman" w:cs="Times New Roman"/>
          <w:vertAlign w:val="superscript"/>
        </w:rPr>
        <w:t>(3-</w:t>
      </w:r>
      <w:proofErr w:type="gramStart"/>
      <w:r w:rsidRPr="001F5691">
        <w:rPr>
          <w:rFonts w:ascii="Times New Roman" w:hAnsi="Times New Roman" w:cs="Times New Roman"/>
          <w:vertAlign w:val="superscript"/>
        </w:rPr>
        <w:t>n)+</w:t>
      </w:r>
      <w:proofErr w:type="gramEnd"/>
      <w:r w:rsidRPr="001F5691">
        <w:rPr>
          <w:rFonts w:ascii="Times New Roman" w:hAnsi="Times New Roman" w:cs="Times New Roman"/>
        </w:rPr>
        <w:t>. Le taux de réduction maximum correspond à la densité de courant limite pour laquelle la concentration des ions chromate à la surface de l’électrode devient nulle.</w:t>
      </w:r>
    </w:p>
    <w:p w14:paraId="4C94CE58" w14:textId="77777777" w:rsidR="00375453" w:rsidRPr="001F5691" w:rsidRDefault="00375453" w:rsidP="008D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>La loi d’équilibre de masse dans un procédé discontinu se déroulant à la densité de courant limite s’écrit :</w:t>
      </w:r>
    </w:p>
    <w:p w14:paraId="03BCE25C" w14:textId="77777777" w:rsidR="00375453" w:rsidRPr="001F5691" w:rsidRDefault="00375453" w:rsidP="008D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 xml:space="preserve">             </w:t>
      </w:r>
      <w:r w:rsidRPr="001F5691">
        <w:rPr>
          <w:rFonts w:ascii="Times New Roman" w:hAnsi="Times New Roman" w:cs="Times New Roman"/>
          <w:position w:val="-30"/>
          <w:lang w:val="en-GB"/>
        </w:rPr>
        <w:object w:dxaOrig="3660" w:dyaOrig="700" w14:anchorId="5BEA7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6pt" o:ole="">
            <v:imagedata r:id="rId14" o:title=""/>
          </v:shape>
          <o:OLEObject Type="Embed" ProgID="Equation.3" ShapeID="_x0000_i1025" DrawAspect="Content" ObjectID="_1634735912" r:id="rId15"/>
        </w:object>
      </w:r>
      <w:r w:rsidRPr="001F5691">
        <w:rPr>
          <w:rFonts w:ascii="Times New Roman" w:hAnsi="Times New Roman" w:cs="Times New Roman"/>
        </w:rPr>
        <w:t xml:space="preserve">                       (2)</w:t>
      </w:r>
    </w:p>
    <w:p w14:paraId="0044957A" w14:textId="77777777" w:rsidR="00375453" w:rsidRPr="001F5691" w:rsidRDefault="00375453" w:rsidP="008D7E7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F5691">
        <w:rPr>
          <w:rFonts w:ascii="Times New Roman" w:hAnsi="Times New Roman" w:cs="Times New Roman"/>
        </w:rPr>
        <w:t>avec</w:t>
      </w:r>
      <w:proofErr w:type="gramEnd"/>
      <w:r w:rsidRPr="001F5691">
        <w:rPr>
          <w:rFonts w:ascii="Times New Roman" w:hAnsi="Times New Roman" w:cs="Times New Roman"/>
        </w:rPr>
        <w:t xml:space="preserve"> k</w:t>
      </w:r>
      <w:r w:rsidRPr="001F5691">
        <w:rPr>
          <w:rFonts w:ascii="Times New Roman" w:hAnsi="Times New Roman" w:cs="Times New Roman"/>
          <w:vertAlign w:val="subscript"/>
        </w:rPr>
        <w:t>m</w:t>
      </w:r>
      <w:r w:rsidRPr="001F5691">
        <w:rPr>
          <w:rFonts w:ascii="Times New Roman" w:hAnsi="Times New Roman" w:cs="Times New Roman"/>
        </w:rPr>
        <w:t xml:space="preserve"> est le coefficient de transfert de masse à l’électrode, A la surface de l’électrode, n</w:t>
      </w:r>
      <w:r w:rsidRPr="001F5691">
        <w:rPr>
          <w:rFonts w:ascii="Times New Roman" w:hAnsi="Times New Roman" w:cs="Times New Roman"/>
          <w:vertAlign w:val="subscript"/>
        </w:rPr>
        <w:t>e</w:t>
      </w:r>
      <w:r w:rsidRPr="001F5691">
        <w:rPr>
          <w:rFonts w:ascii="Times New Roman" w:hAnsi="Times New Roman" w:cs="Times New Roman"/>
        </w:rPr>
        <w:t xml:space="preserve"> le nombre d’électrons mis en jeu et F la constante de Faraday.</w:t>
      </w:r>
    </w:p>
    <w:p w14:paraId="622729AF" w14:textId="77777777" w:rsidR="00375453" w:rsidRPr="001F5691" w:rsidRDefault="00375453" w:rsidP="008D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>En intégrant l’équation 2, on obtient la relation 3 suivante :</w:t>
      </w:r>
    </w:p>
    <w:p w14:paraId="1376F98B" w14:textId="77777777" w:rsidR="00375453" w:rsidRPr="001F5691" w:rsidRDefault="00375453" w:rsidP="008D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 xml:space="preserve">               </w:t>
      </w:r>
      <w:r w:rsidRPr="001F5691">
        <w:rPr>
          <w:rFonts w:ascii="Times New Roman" w:hAnsi="Times New Roman" w:cs="Times New Roman"/>
          <w:position w:val="-30"/>
          <w:lang w:val="en-GB"/>
        </w:rPr>
        <w:object w:dxaOrig="3480" w:dyaOrig="720" w14:anchorId="4DB5BF7D">
          <v:shape id="_x0000_i1026" type="#_x0000_t75" style="width:172.5pt;height:36pt" o:ole="">
            <v:imagedata r:id="rId16" o:title=""/>
          </v:shape>
          <o:OLEObject Type="Embed" ProgID="Equation.3" ShapeID="_x0000_i1026" DrawAspect="Content" ObjectID="_1634735913" r:id="rId17"/>
        </w:object>
      </w:r>
      <w:r w:rsidRPr="001F5691">
        <w:rPr>
          <w:rFonts w:ascii="Times New Roman" w:hAnsi="Times New Roman" w:cs="Times New Roman"/>
        </w:rPr>
        <w:tab/>
      </w:r>
      <w:r w:rsidRPr="001F5691">
        <w:rPr>
          <w:rFonts w:ascii="Times New Roman" w:hAnsi="Times New Roman" w:cs="Times New Roman"/>
        </w:rPr>
        <w:tab/>
      </w:r>
      <w:r w:rsidRPr="001F5691">
        <w:rPr>
          <w:rFonts w:ascii="Times New Roman" w:hAnsi="Times New Roman" w:cs="Times New Roman"/>
        </w:rPr>
        <w:tab/>
      </w:r>
      <w:r w:rsidRPr="001F5691">
        <w:rPr>
          <w:rFonts w:ascii="Times New Roman" w:hAnsi="Times New Roman" w:cs="Times New Roman"/>
        </w:rPr>
        <w:tab/>
        <w:t>(3)</w:t>
      </w:r>
    </w:p>
    <w:p w14:paraId="564FF8A0" w14:textId="77777777" w:rsidR="00375453" w:rsidRPr="001F5691" w:rsidRDefault="00375453" w:rsidP="008D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>Dans ce cas précis, l’électrocoagulation a été menée à densité de courant constante. La loi de traitement du Cr VI à densité de courant est comparable à une loi se déroulant à la densité de courant limite (</w:t>
      </w:r>
      <w:proofErr w:type="spellStart"/>
      <w:r w:rsidRPr="001F5691">
        <w:rPr>
          <w:rFonts w:ascii="Times New Roman" w:hAnsi="Times New Roman" w:cs="Times New Roman"/>
        </w:rPr>
        <w:t>Pickett</w:t>
      </w:r>
      <w:proofErr w:type="spellEnd"/>
      <w:r w:rsidRPr="001F5691">
        <w:rPr>
          <w:rFonts w:ascii="Times New Roman" w:hAnsi="Times New Roman" w:cs="Times New Roman"/>
        </w:rPr>
        <w:t xml:space="preserve">, </w:t>
      </w:r>
      <w:proofErr w:type="spellStart"/>
      <w:r w:rsidRPr="001F5691">
        <w:rPr>
          <w:rFonts w:ascii="Times New Roman" w:hAnsi="Times New Roman" w:cs="Times New Roman"/>
        </w:rPr>
        <w:t>Coeuret</w:t>
      </w:r>
      <w:proofErr w:type="spellEnd"/>
      <w:r w:rsidRPr="001F5691">
        <w:rPr>
          <w:rFonts w:ascii="Times New Roman" w:hAnsi="Times New Roman" w:cs="Times New Roman"/>
        </w:rPr>
        <w:t xml:space="preserve"> et </w:t>
      </w:r>
      <w:proofErr w:type="spellStart"/>
      <w:r w:rsidRPr="001F5691">
        <w:rPr>
          <w:rFonts w:ascii="Times New Roman" w:hAnsi="Times New Roman" w:cs="Times New Roman"/>
        </w:rPr>
        <w:t>Stork</w:t>
      </w:r>
      <w:proofErr w:type="spellEnd"/>
      <w:r w:rsidRPr="001F5691">
        <w:rPr>
          <w:rFonts w:ascii="Times New Roman" w:hAnsi="Times New Roman" w:cs="Times New Roman"/>
        </w:rPr>
        <w:t>).</w:t>
      </w:r>
    </w:p>
    <w:p w14:paraId="5501F5A1" w14:textId="77777777" w:rsidR="00375453" w:rsidRPr="001F5691" w:rsidRDefault="00375453" w:rsidP="008D7E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 xml:space="preserve">Pour i&lt; </w:t>
      </w:r>
      <w:proofErr w:type="spellStart"/>
      <w:r w:rsidRPr="001F5691">
        <w:rPr>
          <w:rFonts w:ascii="Times New Roman" w:hAnsi="Times New Roman" w:cs="Times New Roman"/>
        </w:rPr>
        <w:t>i</w:t>
      </w:r>
      <w:r w:rsidRPr="001F5691">
        <w:rPr>
          <w:rFonts w:ascii="Times New Roman" w:hAnsi="Times New Roman" w:cs="Times New Roman"/>
          <w:vertAlign w:val="subscript"/>
        </w:rPr>
        <w:t>L</w:t>
      </w:r>
      <w:proofErr w:type="spellEnd"/>
      <w:r w:rsidRPr="001F5691">
        <w:rPr>
          <w:rFonts w:ascii="Times New Roman" w:hAnsi="Times New Roman" w:cs="Times New Roman"/>
        </w:rPr>
        <w:t>, le rendement faradique peut atteindre l’unité et la réduction du chrome VI est régulière et proportionnelle à la densité de courant. On a alors,</w:t>
      </w:r>
    </w:p>
    <w:p w14:paraId="473903B8" w14:textId="77777777" w:rsidR="00375453" w:rsidRPr="001F5691" w:rsidRDefault="00375453" w:rsidP="008D7E7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 xml:space="preserve">            </w:t>
      </w:r>
      <w:r w:rsidRPr="001F5691">
        <w:rPr>
          <w:rFonts w:ascii="Times New Roman" w:hAnsi="Times New Roman" w:cs="Times New Roman"/>
          <w:position w:val="-30"/>
          <w:lang w:val="en-GB"/>
        </w:rPr>
        <w:object w:dxaOrig="2079" w:dyaOrig="680" w14:anchorId="50800B94">
          <v:shape id="_x0000_i1027" type="#_x0000_t75" style="width:108pt;height:36pt" o:ole="">
            <v:imagedata r:id="rId18" o:title=""/>
          </v:shape>
          <o:OLEObject Type="Embed" ProgID="Equation.3" ShapeID="_x0000_i1027" DrawAspect="Content" ObjectID="_1634735914" r:id="rId19"/>
        </w:object>
      </w:r>
      <w:r w:rsidRPr="001F5691">
        <w:rPr>
          <w:rFonts w:ascii="Times New Roman" w:hAnsi="Times New Roman" w:cs="Times New Roman"/>
        </w:rPr>
        <w:t xml:space="preserve">                                   (4)   </w:t>
      </w:r>
    </w:p>
    <w:p w14:paraId="715088B3" w14:textId="77777777" w:rsidR="00375453" w:rsidRPr="001F5691" w:rsidRDefault="00375453" w:rsidP="008D7E7B">
      <w:pPr>
        <w:spacing w:before="100" w:line="360" w:lineRule="auto"/>
        <w:ind w:left="360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 xml:space="preserve">Cette relation provient de la variation linéaire de la concentration de Cr VI avec le temps. </w:t>
      </w:r>
    </w:p>
    <w:p w14:paraId="39993995" w14:textId="77777777" w:rsidR="00375453" w:rsidRPr="001F5691" w:rsidRDefault="00375453" w:rsidP="008D7E7B">
      <w:pPr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 xml:space="preserve">Pour i &lt; </w:t>
      </w:r>
      <w:proofErr w:type="spellStart"/>
      <w:r w:rsidRPr="001F5691">
        <w:rPr>
          <w:rFonts w:ascii="Times New Roman" w:hAnsi="Times New Roman" w:cs="Times New Roman"/>
        </w:rPr>
        <w:t>i</w:t>
      </w:r>
      <w:r w:rsidRPr="001F5691">
        <w:rPr>
          <w:rFonts w:ascii="Times New Roman" w:hAnsi="Times New Roman" w:cs="Times New Roman"/>
          <w:vertAlign w:val="subscript"/>
        </w:rPr>
        <w:t>L</w:t>
      </w:r>
      <w:proofErr w:type="spellEnd"/>
      <w:r w:rsidRPr="001F5691">
        <w:rPr>
          <w:rFonts w:ascii="Times New Roman" w:hAnsi="Times New Roman" w:cs="Times New Roman"/>
        </w:rPr>
        <w:t>, seule la densité limite peut être utilisée dans la relation (3).</w:t>
      </w:r>
    </w:p>
    <w:p w14:paraId="4642DB07" w14:textId="77777777" w:rsidR="00375453" w:rsidRPr="001F5691" w:rsidRDefault="00375453" w:rsidP="008D7E7B">
      <w:pPr>
        <w:spacing w:before="100" w:line="360" w:lineRule="auto"/>
        <w:jc w:val="both"/>
        <w:rPr>
          <w:rFonts w:ascii="Times New Roman" w:hAnsi="Times New Roman" w:cs="Times New Roman"/>
        </w:rPr>
      </w:pPr>
      <w:r w:rsidRPr="001F5691">
        <w:rPr>
          <w:rFonts w:ascii="Times New Roman" w:hAnsi="Times New Roman" w:cs="Times New Roman"/>
        </w:rPr>
        <w:t>Cela montre clairement que la densité de courant limite –ou le coefficient de transfert de matière- est à déterminer.</w:t>
      </w:r>
    </w:p>
    <w:p w14:paraId="0DD9637A" w14:textId="465A5CF1" w:rsidR="00375453" w:rsidRPr="00757F57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57F57">
        <w:rPr>
          <w:rFonts w:ascii="Times New Roman" w:hAnsi="Times New Roman" w:cs="Times New Roman"/>
          <w:b/>
        </w:rPr>
        <w:t>Estimation du coefficient de transfert de matière à la cathode</w:t>
      </w:r>
    </w:p>
    <w:p w14:paraId="67CA012E" w14:textId="25C076E4" w:rsidR="00375453" w:rsidRPr="007038AF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F">
        <w:rPr>
          <w:rFonts w:ascii="Times New Roman" w:hAnsi="Times New Roman" w:cs="Times New Roman"/>
          <w:sz w:val="24"/>
          <w:szCs w:val="24"/>
        </w:rPr>
        <w:t>La convection de l’effluent se fait avec un coefficient d</w:t>
      </w:r>
      <w:r w:rsidR="00D90788">
        <w:rPr>
          <w:rFonts w:ascii="Times New Roman" w:hAnsi="Times New Roman" w:cs="Times New Roman"/>
          <w:sz w:val="24"/>
          <w:szCs w:val="24"/>
        </w:rPr>
        <w:t xml:space="preserve">e transfert de matière qui peut </w:t>
      </w:r>
      <w:r w:rsidRPr="007038AF">
        <w:rPr>
          <w:rFonts w:ascii="Times New Roman" w:hAnsi="Times New Roman" w:cs="Times New Roman"/>
          <w:sz w:val="24"/>
          <w:szCs w:val="24"/>
        </w:rPr>
        <w:t xml:space="preserve">être estimé par une loi numérique reliant la masse au transfert momentané de matière. Dans ce cas précis, il y a un dégagement d’hydrogène à la cathode visible par simple observation. Cette présence de gaz entraîne des formations de bulles des diamètres variant de 20 à 50 µm qui créent une légère turbulence par le phénomène d’accroissement et de détachement des bulles à la surface, ce qui augmente considérablement le transfert de matière. Le coefficient qui en résulte est donc lié au deux phénomènes cités et peut-être fonction des coefficients de ces mêmes phénomènes (Wendt et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Kreysa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>, 1999).</w:t>
      </w:r>
    </w:p>
    <w:p w14:paraId="4B9C34F3" w14:textId="77777777" w:rsidR="00375453" w:rsidRPr="007038AF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F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7038AF">
        <w:rPr>
          <w:rFonts w:ascii="Times New Roman" w:hAnsi="Times New Roman" w:cs="Times New Roman"/>
          <w:position w:val="-16"/>
          <w:sz w:val="24"/>
          <w:szCs w:val="24"/>
          <w:lang w:val="en-GB"/>
        </w:rPr>
        <w:object w:dxaOrig="2360" w:dyaOrig="480" w14:anchorId="5B491F8E">
          <v:shape id="_x0000_i1028" type="#_x0000_t75" style="width:115.5pt;height:21.75pt" o:ole="">
            <v:imagedata r:id="rId20" o:title=""/>
          </v:shape>
          <o:OLEObject Type="Embed" ProgID="Equation.3" ShapeID="_x0000_i1028" DrawAspect="Content" ObjectID="_1634735915" r:id="rId21"/>
        </w:object>
      </w:r>
      <w:r w:rsidRPr="007038AF">
        <w:rPr>
          <w:rFonts w:ascii="Times New Roman" w:hAnsi="Times New Roman" w:cs="Times New Roman"/>
          <w:sz w:val="24"/>
          <w:szCs w:val="24"/>
        </w:rPr>
        <w:t xml:space="preserve">                                        (5)</w:t>
      </w:r>
    </w:p>
    <w:p w14:paraId="42A8360E" w14:textId="77777777" w:rsidR="00375453" w:rsidRPr="007038AF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F">
        <w:rPr>
          <w:rFonts w:ascii="Times New Roman" w:hAnsi="Times New Roman" w:cs="Times New Roman"/>
          <w:sz w:val="24"/>
          <w:szCs w:val="24"/>
        </w:rPr>
        <w:t xml:space="preserve">Avec </w:t>
      </w:r>
      <w:proofErr w:type="spellStart"/>
      <w:proofErr w:type="gramStart"/>
      <w:r w:rsidRPr="007038AF">
        <w:rPr>
          <w:rFonts w:ascii="Times New Roman" w:hAnsi="Times New Roman" w:cs="Times New Roman"/>
          <w:sz w:val="24"/>
          <w:szCs w:val="24"/>
        </w:rPr>
        <w:t>k</w:t>
      </w:r>
      <w:r w:rsidRPr="007038AF">
        <w:rPr>
          <w:rFonts w:ascii="Times New Roman" w:hAnsi="Times New Roman" w:cs="Times New Roman"/>
          <w:sz w:val="24"/>
          <w:szCs w:val="24"/>
          <w:vertAlign w:val="subscript"/>
        </w:rPr>
        <w:t>m,macro</w:t>
      </w:r>
      <w:proofErr w:type="spellEnd"/>
      <w:proofErr w:type="gramEnd"/>
      <w:r w:rsidRPr="007038A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038AF">
        <w:rPr>
          <w:rFonts w:ascii="Times New Roman" w:hAnsi="Times New Roman" w:cs="Times New Roman"/>
          <w:sz w:val="24"/>
          <w:szCs w:val="24"/>
        </w:rPr>
        <w:t xml:space="preserve">exprimant l’effet de convection et 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k</w:t>
      </w:r>
      <w:r w:rsidRPr="007038AF">
        <w:rPr>
          <w:rFonts w:ascii="Times New Roman" w:hAnsi="Times New Roman" w:cs="Times New Roman"/>
          <w:sz w:val="24"/>
          <w:szCs w:val="24"/>
          <w:vertAlign w:val="subscript"/>
        </w:rPr>
        <w:t>m,bubble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, l’expression de la </w:t>
      </w:r>
      <w:proofErr w:type="spellStart"/>
      <w:r w:rsidRPr="007038AF">
        <w:rPr>
          <w:rFonts w:ascii="Times New Roman" w:hAnsi="Times New Roman" w:cs="Times New Roman"/>
          <w:sz w:val="24"/>
          <w:szCs w:val="24"/>
        </w:rPr>
        <w:t>microturbulence</w:t>
      </w:r>
      <w:proofErr w:type="spellEnd"/>
      <w:r w:rsidRPr="007038AF">
        <w:rPr>
          <w:rFonts w:ascii="Times New Roman" w:hAnsi="Times New Roman" w:cs="Times New Roman"/>
          <w:sz w:val="24"/>
          <w:szCs w:val="24"/>
        </w:rPr>
        <w:t xml:space="preserve"> induite par le dégagement d’hydrogène.</w:t>
      </w:r>
    </w:p>
    <w:p w14:paraId="4A2E8084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En tenant compte du dégagement gazeux faible, l’écoulement peut être supposé laminaire, et donc le coefficient de transfert de matière </w:t>
      </w:r>
      <w:proofErr w:type="gramStart"/>
      <w:r w:rsidRPr="008D7E7B">
        <w:rPr>
          <w:rFonts w:ascii="Times New Roman" w:hAnsi="Times New Roman" w:cs="Times New Roman"/>
          <w:sz w:val="24"/>
          <w:szCs w:val="24"/>
        </w:rPr>
        <w:t>peut-être</w:t>
      </w:r>
      <w:proofErr w:type="gramEnd"/>
      <w:r w:rsidRPr="008D7E7B">
        <w:rPr>
          <w:rFonts w:ascii="Times New Roman" w:hAnsi="Times New Roman" w:cs="Times New Roman"/>
          <w:sz w:val="24"/>
          <w:szCs w:val="24"/>
        </w:rPr>
        <w:t xml:space="preserve"> estimé par la loi de </w:t>
      </w:r>
      <w:proofErr w:type="spellStart"/>
      <w:r w:rsidRPr="008D7E7B">
        <w:rPr>
          <w:rFonts w:ascii="Times New Roman" w:hAnsi="Times New Roman" w:cs="Times New Roman"/>
          <w:sz w:val="24"/>
          <w:szCs w:val="24"/>
        </w:rPr>
        <w:t>Lévèque</w:t>
      </w:r>
      <w:proofErr w:type="spellEnd"/>
      <w:r w:rsidRPr="008D7E7B">
        <w:rPr>
          <w:rFonts w:ascii="Times New Roman" w:hAnsi="Times New Roman" w:cs="Times New Roman"/>
          <w:sz w:val="24"/>
          <w:szCs w:val="24"/>
        </w:rPr>
        <w:t> :</w:t>
      </w:r>
    </w:p>
    <w:p w14:paraId="75052217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7E7B">
        <w:rPr>
          <w:rFonts w:ascii="Times New Roman" w:hAnsi="Times New Roman" w:cs="Times New Roman"/>
          <w:position w:val="-30"/>
          <w:sz w:val="24"/>
          <w:szCs w:val="24"/>
          <w:lang w:val="en-GB"/>
        </w:rPr>
        <w:object w:dxaOrig="3440" w:dyaOrig="760" w14:anchorId="1F4C6EEB">
          <v:shape id="_x0000_i1029" type="#_x0000_t75" style="width:172.5pt;height:36pt" o:ole="">
            <v:imagedata r:id="rId22" o:title=""/>
          </v:shape>
          <o:OLEObject Type="Embed" ProgID="Equation.3" ShapeID="_x0000_i1029" DrawAspect="Content" ObjectID="_1634735916" r:id="rId23"/>
        </w:object>
      </w:r>
      <w:r w:rsidRPr="008D7E7B">
        <w:rPr>
          <w:rFonts w:ascii="Times New Roman" w:hAnsi="Times New Roman" w:cs="Times New Roman"/>
          <w:sz w:val="24"/>
          <w:szCs w:val="24"/>
        </w:rPr>
        <w:t xml:space="preserve"> </w:t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  <w:t xml:space="preserve">(6) </w:t>
      </w:r>
    </w:p>
    <w:p w14:paraId="60F9B9E6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avec </w:t>
      </w:r>
      <w:r w:rsidRPr="008D7E7B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1960" w:dyaOrig="660" w14:anchorId="5247E92A">
          <v:shape id="_x0000_i1030" type="#_x0000_t75" style="width:100.5pt;height:36pt" o:ole="">
            <v:imagedata r:id="rId24" o:title=""/>
          </v:shape>
          <o:OLEObject Type="Embed" ProgID="Equation.3" ShapeID="_x0000_i1030" DrawAspect="Content" ObjectID="_1634735917" r:id="rId25"/>
        </w:object>
      </w:r>
      <w:r w:rsidRPr="008D7E7B">
        <w:rPr>
          <w:rFonts w:ascii="Times New Roman" w:hAnsi="Times New Roman" w:cs="Times New Roman"/>
          <w:sz w:val="24"/>
          <w:szCs w:val="24"/>
        </w:rPr>
        <w:t xml:space="preserve">, </w:t>
      </w:r>
      <w:r w:rsidRPr="008D7E7B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1460" w:dyaOrig="639" w14:anchorId="2BC8C826">
          <v:shape id="_x0000_i1031" type="#_x0000_t75" style="width:1in;height:28.5pt" o:ole="">
            <v:imagedata r:id="rId26" o:title=""/>
          </v:shape>
          <o:OLEObject Type="Embed" ProgID="Equation.3" ShapeID="_x0000_i1031" DrawAspect="Content" ObjectID="_1634735918" r:id="rId27"/>
        </w:object>
      </w:r>
      <w:r w:rsidRPr="008D7E7B">
        <w:rPr>
          <w:rFonts w:ascii="Times New Roman" w:hAnsi="Times New Roman" w:cs="Times New Roman"/>
          <w:sz w:val="24"/>
          <w:szCs w:val="24"/>
        </w:rPr>
        <w:t xml:space="preserve"> et </w:t>
      </w:r>
      <w:r w:rsidRPr="008D7E7B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800" w:dyaOrig="620" w14:anchorId="50B3361E">
          <v:shape id="_x0000_i1032" type="#_x0000_t75" style="width:43.5pt;height:28.5pt" o:ole="">
            <v:imagedata r:id="rId28" o:title=""/>
          </v:shape>
          <o:OLEObject Type="Embed" ProgID="Equation.3" ShapeID="_x0000_i1032" DrawAspect="Content" ObjectID="_1634735919" r:id="rId29"/>
        </w:object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6’"/>
        </w:smartTagPr>
        <w:r w:rsidRPr="008D7E7B">
          <w:rPr>
            <w:rFonts w:ascii="Times New Roman" w:hAnsi="Times New Roman" w:cs="Times New Roman"/>
            <w:sz w:val="24"/>
            <w:szCs w:val="24"/>
          </w:rPr>
          <w:t>6’</w:t>
        </w:r>
      </w:smartTag>
      <w:r w:rsidRPr="008D7E7B">
        <w:rPr>
          <w:rFonts w:ascii="Times New Roman" w:hAnsi="Times New Roman" w:cs="Times New Roman"/>
          <w:sz w:val="24"/>
          <w:szCs w:val="24"/>
        </w:rPr>
        <w:t xml:space="preserve">)                  </w:t>
      </w:r>
    </w:p>
    <w:p w14:paraId="675D9BF9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>avec d</w:t>
      </w:r>
      <w:r w:rsidRPr="008D7E7B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8D7E7B">
        <w:rPr>
          <w:rFonts w:ascii="Times New Roman" w:hAnsi="Times New Roman" w:cs="Times New Roman"/>
          <w:sz w:val="24"/>
          <w:szCs w:val="24"/>
        </w:rPr>
        <w:t>, le diamètre hydraulique, L la longueur de l’électrode, u la vitesse du liquide,</w:t>
      </w:r>
      <w:r w:rsidR="008D7E7B">
        <w:rPr>
          <w:rFonts w:ascii="Times New Roman" w:hAnsi="Times New Roman" w:cs="Times New Roman"/>
          <w:sz w:val="24"/>
          <w:szCs w:val="24"/>
        </w:rPr>
        <w:t xml:space="preserve"> </w:t>
      </w:r>
      <w:r w:rsidR="00E042A9" w:rsidRPr="008D7E7B">
        <w:rPr>
          <w:rFonts w:ascii="Times New Roman" w:hAnsi="Times New Roman" w:cs="Times New Roman"/>
          <w:sz w:val="24"/>
          <w:szCs w:val="24"/>
        </w:rPr>
        <w:t>υ</w:t>
      </w:r>
      <w:r w:rsidRPr="008D7E7B">
        <w:rPr>
          <w:rFonts w:ascii="Times New Roman" w:hAnsi="Times New Roman" w:cs="Times New Roman"/>
          <w:sz w:val="24"/>
          <w:szCs w:val="24"/>
        </w:rPr>
        <w:t xml:space="preserve"> la viscosité cinématique du liquide et D le coefficient de diffusivité des espèces </w:t>
      </w:r>
      <w:proofErr w:type="spellStart"/>
      <w:r w:rsidRPr="008D7E7B">
        <w:rPr>
          <w:rFonts w:ascii="Times New Roman" w:hAnsi="Times New Roman" w:cs="Times New Roman"/>
          <w:sz w:val="24"/>
          <w:szCs w:val="24"/>
        </w:rPr>
        <w:t>électroactives</w:t>
      </w:r>
      <w:proofErr w:type="spellEnd"/>
      <w:r w:rsidRPr="008D7E7B">
        <w:rPr>
          <w:rFonts w:ascii="Times New Roman" w:hAnsi="Times New Roman" w:cs="Times New Roman"/>
          <w:sz w:val="24"/>
          <w:szCs w:val="24"/>
        </w:rPr>
        <w:t>.</w:t>
      </w:r>
    </w:p>
    <w:p w14:paraId="0D357D1F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>Le coefficient de transfert de matière résultant du dégagement d’hydrogène peut être estimé comme suit (</w:t>
      </w:r>
      <w:proofErr w:type="spellStart"/>
      <w:r w:rsidRPr="008D7E7B">
        <w:rPr>
          <w:rFonts w:ascii="Times New Roman" w:hAnsi="Times New Roman" w:cs="Times New Roman"/>
          <w:sz w:val="24"/>
          <w:szCs w:val="24"/>
        </w:rPr>
        <w:t>kreysa</w:t>
      </w:r>
      <w:proofErr w:type="spellEnd"/>
      <w:r w:rsidRPr="008D7E7B">
        <w:rPr>
          <w:rFonts w:ascii="Times New Roman" w:hAnsi="Times New Roman" w:cs="Times New Roman"/>
          <w:sz w:val="24"/>
          <w:szCs w:val="24"/>
        </w:rPr>
        <w:t xml:space="preserve"> et Wendt) :</w:t>
      </w:r>
    </w:p>
    <w:p w14:paraId="580DC3AF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D7E7B">
        <w:rPr>
          <w:rFonts w:ascii="Times New Roman" w:hAnsi="Times New Roman" w:cs="Times New Roman"/>
          <w:position w:val="-12"/>
          <w:sz w:val="24"/>
          <w:szCs w:val="24"/>
          <w:lang w:val="en-GB"/>
        </w:rPr>
        <w:object w:dxaOrig="2720" w:dyaOrig="400" w14:anchorId="062FEE59">
          <v:shape id="_x0000_i1033" type="#_x0000_t75" style="width:136.5pt;height:21.75pt" o:ole="">
            <v:imagedata r:id="rId30" o:title=""/>
          </v:shape>
          <o:OLEObject Type="Embed" ProgID="Equation.3" ShapeID="_x0000_i1033" DrawAspect="Content" ObjectID="_1634735920" r:id="rId31"/>
        </w:object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  <w:t>(7)</w:t>
      </w:r>
    </w:p>
    <w:p w14:paraId="2318FDF9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Avec </w:t>
      </w:r>
      <w:r w:rsidRPr="008D7E7B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2240" w:dyaOrig="660" w14:anchorId="77D790D0">
          <v:shape id="_x0000_i1034" type="#_x0000_t75" style="width:115.5pt;height:36pt" o:ole="">
            <v:imagedata r:id="rId32" o:title=""/>
          </v:shape>
          <o:OLEObject Type="Embed" ProgID="Equation.3" ShapeID="_x0000_i1034" DrawAspect="Content" ObjectID="_1634735921" r:id="rId33"/>
        </w:object>
      </w:r>
      <w:r w:rsidRPr="008D7E7B">
        <w:rPr>
          <w:rFonts w:ascii="Times New Roman" w:hAnsi="Times New Roman" w:cs="Times New Roman"/>
          <w:sz w:val="24"/>
          <w:szCs w:val="24"/>
        </w:rPr>
        <w:t xml:space="preserve"> et      </w:t>
      </w:r>
      <w:r w:rsidRPr="008D7E7B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2140" w:dyaOrig="660" w14:anchorId="23DB7C84">
          <v:shape id="_x0000_i1035" type="#_x0000_t75" style="width:108pt;height:36pt" o:ole="">
            <v:imagedata r:id="rId34" o:title=""/>
          </v:shape>
          <o:OLEObject Type="Embed" ProgID="Equation.3" ShapeID="_x0000_i1035" DrawAspect="Content" ObjectID="_1634735922" r:id="rId35"/>
        </w:object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7’"/>
        </w:smartTagPr>
        <w:r w:rsidRPr="008D7E7B">
          <w:rPr>
            <w:rFonts w:ascii="Times New Roman" w:hAnsi="Times New Roman" w:cs="Times New Roman"/>
            <w:sz w:val="24"/>
            <w:szCs w:val="24"/>
          </w:rPr>
          <w:t>7’</w:t>
        </w:r>
      </w:smartTag>
      <w:r w:rsidRPr="008D7E7B">
        <w:rPr>
          <w:rFonts w:ascii="Times New Roman" w:hAnsi="Times New Roman" w:cs="Times New Roman"/>
          <w:sz w:val="24"/>
          <w:szCs w:val="24"/>
        </w:rPr>
        <w:t xml:space="preserve">)             </w:t>
      </w:r>
    </w:p>
    <w:p w14:paraId="10D3F46E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Où </w:t>
      </w:r>
      <w:r w:rsidRPr="008D7E7B">
        <w:rPr>
          <w:rFonts w:ascii="Times New Roman" w:hAnsi="Times New Roman" w:cs="Times New Roman"/>
          <w:position w:val="-12"/>
          <w:sz w:val="24"/>
          <w:szCs w:val="24"/>
          <w:lang w:val="en-GB"/>
        </w:rPr>
        <w:object w:dxaOrig="580" w:dyaOrig="380" w14:anchorId="36449EA8">
          <v:shape id="_x0000_i1036" type="#_x0000_t75" style="width:28.5pt;height:21.75pt" o:ole="">
            <v:imagedata r:id="rId36" o:title=""/>
          </v:shape>
          <o:OLEObject Type="Embed" ProgID="Equation.3" ShapeID="_x0000_i1036" DrawAspect="Content" ObjectID="_1634735923" r:id="rId37"/>
        </w:object>
      </w:r>
      <w:r w:rsidRPr="008D7E7B">
        <w:rPr>
          <w:rFonts w:ascii="Times New Roman" w:hAnsi="Times New Roman" w:cs="Times New Roman"/>
          <w:sz w:val="24"/>
          <w:szCs w:val="24"/>
        </w:rPr>
        <w:t xml:space="preserve"> est le débit volumique de gaz généré par unité de surface, exprimé en m/s. Le cas du dégagement d’hydrogène nécessite 2 électrons par molécule de gaz. La loi de faraday conduit à l’expression suivante de débit spécifique en fonction de la densité de courant.</w:t>
      </w:r>
    </w:p>
    <w:p w14:paraId="2E54D191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1840" w:dyaOrig="639" w14:anchorId="0187708C">
          <v:shape id="_x0000_i1037" type="#_x0000_t75" style="width:93.75pt;height:28.5pt" o:ole="">
            <v:imagedata r:id="rId38" o:title=""/>
          </v:shape>
          <o:OLEObject Type="Embed" ProgID="Equation.3" ShapeID="_x0000_i1037" DrawAspect="Content" ObjectID="_1634735924" r:id="rId39"/>
        </w:object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  <w:t>(8)</w:t>
      </w:r>
    </w:p>
    <w:p w14:paraId="06F86499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Où R est la constante des gaz parfaits, T la température et P la pression considérée égale à la pression atmosphérique. </w:t>
      </w:r>
    </w:p>
    <w:p w14:paraId="0237E88D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La question qu’on se pose à ce niveau, est quelle densité de courant utilisée pour le dégagement de gaz, </w:t>
      </w:r>
      <w:proofErr w:type="spellStart"/>
      <w:r w:rsidRPr="008D7E7B">
        <w:rPr>
          <w:rFonts w:ascii="Times New Roman" w:hAnsi="Times New Roman" w:cs="Times New Roman"/>
          <w:sz w:val="24"/>
          <w:szCs w:val="24"/>
        </w:rPr>
        <w:t>i</w:t>
      </w:r>
      <w:r w:rsidRPr="008D7E7B">
        <w:rPr>
          <w:rFonts w:ascii="Times New Roman" w:hAnsi="Times New Roman" w:cs="Times New Roman"/>
          <w:sz w:val="24"/>
          <w:szCs w:val="24"/>
          <w:vertAlign w:val="subscript"/>
        </w:rPr>
        <w:t>bubble</w:t>
      </w:r>
      <w:proofErr w:type="spellEnd"/>
      <w:r w:rsidRPr="008D7E7B">
        <w:rPr>
          <w:rFonts w:ascii="Times New Roman" w:hAnsi="Times New Roman" w:cs="Times New Roman"/>
          <w:sz w:val="24"/>
          <w:szCs w:val="24"/>
        </w:rPr>
        <w:t>. La densité de courant imposée est connue et cette densité représente la somme des densités de courant pour la réduction du Cr VI et le dégagement d’hydrogène.</w:t>
      </w:r>
    </w:p>
    <w:p w14:paraId="35E107B8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7E7B">
        <w:rPr>
          <w:rFonts w:ascii="Times New Roman" w:hAnsi="Times New Roman" w:cs="Times New Roman"/>
          <w:position w:val="-14"/>
          <w:sz w:val="24"/>
          <w:szCs w:val="24"/>
          <w:lang w:val="en-GB"/>
        </w:rPr>
        <w:object w:dxaOrig="1579" w:dyaOrig="380" w14:anchorId="43F55259">
          <v:shape id="_x0000_i1038" type="#_x0000_t75" style="width:79.5pt;height:21.75pt" o:ole="">
            <v:imagedata r:id="rId40" o:title=""/>
          </v:shape>
          <o:OLEObject Type="Embed" ProgID="Equation.3" ShapeID="_x0000_i1038" DrawAspect="Content" ObjectID="_1634735925" r:id="rId41"/>
        </w:object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</w:r>
      <w:r w:rsidRPr="008D7E7B">
        <w:rPr>
          <w:rFonts w:ascii="Times New Roman" w:hAnsi="Times New Roman" w:cs="Times New Roman"/>
          <w:sz w:val="24"/>
          <w:szCs w:val="24"/>
        </w:rPr>
        <w:tab/>
        <w:t>(9)</w:t>
      </w:r>
    </w:p>
    <w:p w14:paraId="14F1F4EA" w14:textId="77777777" w:rsidR="00375453" w:rsidRPr="008D7E7B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>Pour ce calcul, le coefficient de transfert de matière relatif au dégagement gazeux a été surestimé en utilisant la densité de courant appliquée à la relation (8).</w:t>
      </w:r>
    </w:p>
    <w:p w14:paraId="214D8209" w14:textId="77777777" w:rsidR="00375453" w:rsidRPr="008D7E7B" w:rsidRDefault="00375453" w:rsidP="008D7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La température a été fixée à </w:t>
      </w:r>
      <w:smartTag w:uri="urn:schemas-microsoft-com:office:smarttags" w:element="metricconverter">
        <w:smartTagPr>
          <w:attr w:name="ProductID" w:val="25ﾰC"/>
        </w:smartTagPr>
        <w:r w:rsidRPr="008D7E7B">
          <w:rPr>
            <w:rFonts w:ascii="Times New Roman" w:hAnsi="Times New Roman" w:cs="Times New Roman"/>
            <w:sz w:val="24"/>
            <w:szCs w:val="24"/>
          </w:rPr>
          <w:t>25°C</w:t>
        </w:r>
      </w:smartTag>
      <w:r w:rsidRPr="008D7E7B">
        <w:rPr>
          <w:rFonts w:ascii="Times New Roman" w:hAnsi="Times New Roman" w:cs="Times New Roman"/>
          <w:sz w:val="24"/>
          <w:szCs w:val="24"/>
        </w:rPr>
        <w:t>, l’effluent a été assimilé à de l’eau pure et les paramètres suivants ont été pris en compte :</w:t>
      </w:r>
    </w:p>
    <w:p w14:paraId="3582629F" w14:textId="77777777" w:rsidR="00375453" w:rsidRPr="008D7E7B" w:rsidRDefault="00375453" w:rsidP="008D7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D7E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7E7B">
        <w:rPr>
          <w:rFonts w:ascii="Times New Roman" w:hAnsi="Times New Roman" w:cs="Times New Roman"/>
          <w:sz w:val="24"/>
          <w:szCs w:val="24"/>
          <w:lang w:val="nl-NL"/>
        </w:rPr>
        <w:t>u = 0.0025 ms</w:t>
      </w:r>
      <w:r w:rsidRPr="008D7E7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-1</w:t>
      </w:r>
      <w:r w:rsidRPr="008D7E7B">
        <w:rPr>
          <w:rFonts w:ascii="Times New Roman" w:hAnsi="Times New Roman" w:cs="Times New Roman"/>
          <w:sz w:val="24"/>
          <w:szCs w:val="24"/>
          <w:lang w:val="nl-NL"/>
        </w:rPr>
        <w:t>, d</w:t>
      </w:r>
      <w:r w:rsidRPr="008D7E7B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e</w:t>
      </w:r>
      <w:r w:rsidRPr="008D7E7B">
        <w:rPr>
          <w:rFonts w:ascii="Times New Roman" w:hAnsi="Times New Roman" w:cs="Times New Roman"/>
          <w:sz w:val="24"/>
          <w:szCs w:val="24"/>
          <w:lang w:val="nl-NL"/>
        </w:rPr>
        <w:t xml:space="preserve"> = </w:t>
      </w:r>
      <w:smartTag w:uri="urn:schemas-microsoft-com:office:smarttags" w:element="metricconverter">
        <w:smartTagPr>
          <w:attr w:name="ProductID" w:val="0.0283 m"/>
        </w:smartTagPr>
        <w:r w:rsidRPr="008D7E7B">
          <w:rPr>
            <w:rFonts w:ascii="Times New Roman" w:hAnsi="Times New Roman" w:cs="Times New Roman"/>
            <w:sz w:val="24"/>
            <w:szCs w:val="24"/>
            <w:lang w:val="nl-NL"/>
          </w:rPr>
          <w:t>0.0283 m</w:t>
        </w:r>
      </w:smartTag>
      <w:r w:rsidRPr="008D7E7B">
        <w:rPr>
          <w:rFonts w:ascii="Times New Roman" w:hAnsi="Times New Roman" w:cs="Times New Roman"/>
          <w:sz w:val="24"/>
          <w:szCs w:val="24"/>
          <w:lang w:val="nl-NL"/>
        </w:rPr>
        <w:t xml:space="preserve">, L = </w:t>
      </w:r>
      <w:smartTag w:uri="urn:schemas-microsoft-com:office:smarttags" w:element="metricconverter">
        <w:smartTagPr>
          <w:attr w:name="ProductID" w:val="0.15 m"/>
        </w:smartTagPr>
        <w:r w:rsidRPr="008D7E7B">
          <w:rPr>
            <w:rFonts w:ascii="Times New Roman" w:hAnsi="Times New Roman" w:cs="Times New Roman"/>
            <w:sz w:val="24"/>
            <w:szCs w:val="24"/>
            <w:lang w:val="nl-NL"/>
          </w:rPr>
          <w:t>0.15 m</w:t>
        </w:r>
      </w:smartTag>
    </w:p>
    <w:p w14:paraId="660E2EF3" w14:textId="77777777" w:rsidR="00375453" w:rsidRPr="008D7E7B" w:rsidRDefault="00375453" w:rsidP="008D7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D7E7B">
        <w:rPr>
          <w:rFonts w:ascii="Times New Roman" w:hAnsi="Times New Roman" w:cs="Times New Roman"/>
          <w:sz w:val="24"/>
          <w:szCs w:val="24"/>
          <w:lang w:val="nl-NL"/>
        </w:rPr>
        <w:lastRenderedPageBreak/>
        <w:tab/>
      </w:r>
      <w:r w:rsidR="00E042A9" w:rsidRPr="008D7E7B">
        <w:rPr>
          <w:rFonts w:ascii="Times New Roman" w:hAnsi="Times New Roman" w:cs="Times New Roman"/>
          <w:sz w:val="24"/>
          <w:szCs w:val="24"/>
        </w:rPr>
        <w:t>υ</w:t>
      </w:r>
      <w:r w:rsidRPr="008D7E7B">
        <w:rPr>
          <w:rFonts w:ascii="Times New Roman" w:hAnsi="Times New Roman" w:cs="Times New Roman"/>
          <w:sz w:val="24"/>
          <w:szCs w:val="24"/>
          <w:lang w:val="nl-NL"/>
        </w:rPr>
        <w:t xml:space="preserve"> = 0.89 10</w:t>
      </w:r>
      <w:r w:rsidRPr="008D7E7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-</w:t>
      </w:r>
      <w:smartTag w:uri="urn:schemas-microsoft-com:office:smarttags" w:element="metricconverter">
        <w:smartTagPr>
          <w:attr w:name="ProductID" w:val="6 m2"/>
        </w:smartTagPr>
        <w:r w:rsidRPr="008D7E7B">
          <w:rPr>
            <w:rFonts w:ascii="Times New Roman" w:hAnsi="Times New Roman" w:cs="Times New Roman"/>
            <w:sz w:val="24"/>
            <w:szCs w:val="24"/>
            <w:vertAlign w:val="superscript"/>
            <w:lang w:val="nl-NL"/>
          </w:rPr>
          <w:t>6</w:t>
        </w:r>
        <w:r w:rsidRPr="008D7E7B">
          <w:rPr>
            <w:rFonts w:ascii="Times New Roman" w:hAnsi="Times New Roman" w:cs="Times New Roman"/>
            <w:sz w:val="24"/>
            <w:szCs w:val="24"/>
            <w:lang w:val="nl-NL"/>
          </w:rPr>
          <w:t xml:space="preserve"> m</w:t>
        </w:r>
        <w:r w:rsidRPr="008D7E7B">
          <w:rPr>
            <w:rFonts w:ascii="Times New Roman" w:hAnsi="Times New Roman" w:cs="Times New Roman"/>
            <w:sz w:val="24"/>
            <w:szCs w:val="24"/>
            <w:vertAlign w:val="superscript"/>
            <w:lang w:val="nl-NL"/>
          </w:rPr>
          <w:t>2</w:t>
        </w:r>
      </w:smartTag>
      <w:r w:rsidRPr="008D7E7B">
        <w:rPr>
          <w:rFonts w:ascii="Times New Roman" w:hAnsi="Times New Roman" w:cs="Times New Roman"/>
          <w:sz w:val="24"/>
          <w:szCs w:val="24"/>
          <w:lang w:val="nl-NL"/>
        </w:rPr>
        <w:t xml:space="preserve"> s</w:t>
      </w:r>
      <w:r w:rsidRPr="008D7E7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-1</w:t>
      </w:r>
      <w:r w:rsidRPr="008D7E7B">
        <w:rPr>
          <w:rFonts w:ascii="Times New Roman" w:hAnsi="Times New Roman" w:cs="Times New Roman"/>
          <w:sz w:val="24"/>
          <w:szCs w:val="24"/>
          <w:lang w:val="nl-NL"/>
        </w:rPr>
        <w:t>, D = 1.131 10</w:t>
      </w:r>
      <w:r w:rsidRPr="008D7E7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-</w:t>
      </w:r>
      <w:smartTag w:uri="urn:schemas-microsoft-com:office:smarttags" w:element="metricconverter">
        <w:smartTagPr>
          <w:attr w:name="ProductID" w:val="9 m2"/>
        </w:smartTagPr>
        <w:r w:rsidRPr="008D7E7B">
          <w:rPr>
            <w:rFonts w:ascii="Times New Roman" w:hAnsi="Times New Roman" w:cs="Times New Roman"/>
            <w:sz w:val="24"/>
            <w:szCs w:val="24"/>
            <w:vertAlign w:val="superscript"/>
            <w:lang w:val="nl-NL"/>
          </w:rPr>
          <w:t>9</w:t>
        </w:r>
        <w:r w:rsidRPr="008D7E7B">
          <w:rPr>
            <w:rFonts w:ascii="Times New Roman" w:hAnsi="Times New Roman" w:cs="Times New Roman"/>
            <w:sz w:val="24"/>
            <w:szCs w:val="24"/>
            <w:lang w:val="nl-NL"/>
          </w:rPr>
          <w:t xml:space="preserve"> m</w:t>
        </w:r>
        <w:r w:rsidRPr="008D7E7B">
          <w:rPr>
            <w:rFonts w:ascii="Times New Roman" w:hAnsi="Times New Roman" w:cs="Times New Roman"/>
            <w:sz w:val="24"/>
            <w:szCs w:val="24"/>
            <w:vertAlign w:val="superscript"/>
            <w:lang w:val="nl-NL"/>
          </w:rPr>
          <w:t>2</w:t>
        </w:r>
      </w:smartTag>
      <w:r w:rsidRPr="008D7E7B">
        <w:rPr>
          <w:rFonts w:ascii="Times New Roman" w:hAnsi="Times New Roman" w:cs="Times New Roman"/>
          <w:sz w:val="24"/>
          <w:szCs w:val="24"/>
          <w:lang w:val="nl-NL"/>
        </w:rPr>
        <w:t xml:space="preserve"> s</w:t>
      </w:r>
      <w:r w:rsidRPr="008D7E7B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 xml:space="preserve">-1 </w:t>
      </w:r>
    </w:p>
    <w:p w14:paraId="492BFB2A" w14:textId="77777777" w:rsidR="00375453" w:rsidRPr="008D7E7B" w:rsidRDefault="00375453" w:rsidP="008D7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7B">
        <w:rPr>
          <w:rFonts w:ascii="Times New Roman" w:hAnsi="Times New Roman" w:cs="Times New Roman"/>
          <w:sz w:val="24"/>
          <w:szCs w:val="24"/>
        </w:rPr>
        <w:t>La diffusivité des ions chromates a été estimée à partir des tables de mobilité équivalentes en considérant une dilution infinie (</w:t>
      </w:r>
      <w:proofErr w:type="spellStart"/>
      <w:r w:rsidRPr="008D7E7B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8D7E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7E7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8D7E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7E7B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8D7E7B">
        <w:rPr>
          <w:rFonts w:ascii="Times New Roman" w:hAnsi="Times New Roman" w:cs="Times New Roman"/>
          <w:sz w:val="24"/>
          <w:szCs w:val="24"/>
        </w:rPr>
        <w:t>).</w:t>
      </w:r>
    </w:p>
    <w:p w14:paraId="374F60C3" w14:textId="77777777" w:rsidR="00375453" w:rsidRPr="008D7E7B" w:rsidRDefault="00375453" w:rsidP="008D7E7B">
      <w:pPr>
        <w:spacing w:before="10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7E7B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8D7E7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m,macro</w:t>
      </w:r>
      <w:proofErr w:type="spellEnd"/>
      <w:r w:rsidRPr="008D7E7B">
        <w:rPr>
          <w:rFonts w:ascii="Times New Roman" w:hAnsi="Times New Roman" w:cs="Times New Roman"/>
          <w:sz w:val="24"/>
          <w:szCs w:val="24"/>
          <w:lang w:val="en-GB"/>
        </w:rPr>
        <w:t xml:space="preserve"> = 1.47 10</w:t>
      </w:r>
      <w:r w:rsidRPr="008D7E7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6 m"/>
        </w:smartTagPr>
        <w:r w:rsidRPr="008D7E7B">
          <w:rPr>
            <w:rFonts w:ascii="Times New Roman" w:hAnsi="Times New Roman" w:cs="Times New Roman"/>
            <w:sz w:val="24"/>
            <w:szCs w:val="24"/>
            <w:vertAlign w:val="superscript"/>
            <w:lang w:val="en-GB"/>
          </w:rPr>
          <w:t>6</w:t>
        </w:r>
        <w:r w:rsidRPr="008D7E7B">
          <w:rPr>
            <w:rFonts w:ascii="Times New Roman" w:hAnsi="Times New Roman" w:cs="Times New Roman"/>
            <w:sz w:val="24"/>
            <w:szCs w:val="24"/>
            <w:lang w:val="en-GB"/>
          </w:rPr>
          <w:t xml:space="preserve"> m</w:t>
        </w:r>
      </w:smartTag>
      <w:r w:rsidRPr="008D7E7B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Pr="008D7E7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</w:p>
    <w:tbl>
      <w:tblPr>
        <w:tblW w:w="7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316"/>
        <w:gridCol w:w="1216"/>
        <w:gridCol w:w="1216"/>
        <w:gridCol w:w="1216"/>
        <w:gridCol w:w="1316"/>
      </w:tblGrid>
      <w:tr w:rsidR="00375453" w:rsidRPr="001F5691" w14:paraId="06838126" w14:textId="77777777" w:rsidTr="008D7E7B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14:paraId="7B3FDEE5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i (A/m2)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C56F106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Débit vol. h2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0E695A82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691">
              <w:rPr>
                <w:rFonts w:ascii="Times New Roman" w:hAnsi="Times New Roman" w:cs="Times New Roman"/>
              </w:rPr>
              <w:t>Re,bubble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AC1F335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691">
              <w:rPr>
                <w:rFonts w:ascii="Times New Roman" w:hAnsi="Times New Roman" w:cs="Times New Roman"/>
              </w:rPr>
              <w:t>Sh,bubble</w:t>
            </w:r>
            <w:proofErr w:type="spellEnd"/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D9C2B1E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691">
              <w:rPr>
                <w:rFonts w:ascii="Times New Roman" w:hAnsi="Times New Roman" w:cs="Times New Roman"/>
              </w:rPr>
              <w:t>km,bubble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B2F0945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5691">
              <w:rPr>
                <w:rFonts w:ascii="Times New Roman" w:hAnsi="Times New Roman" w:cs="Times New Roman"/>
              </w:rPr>
              <w:t>km,global</w:t>
            </w:r>
            <w:proofErr w:type="spellEnd"/>
          </w:p>
        </w:tc>
      </w:tr>
      <w:tr w:rsidR="00375453" w:rsidRPr="001F5691" w14:paraId="065F8410" w14:textId="77777777" w:rsidTr="008D7E7B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14:paraId="7DFE43A0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 xml:space="preserve">  50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E755381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6,35 10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16113171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3,57 10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2CA26AA8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4,93 10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DE2881E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1,11 10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68CE5FB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1,12 10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375453" w:rsidRPr="001F5691" w14:paraId="204454A1" w14:textId="77777777" w:rsidTr="008D7E7B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14:paraId="1959FDEE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C6F5C11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1,27 10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472BD264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7,13 10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733147A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6,97 10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DA57777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1,58 10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FE506D7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1,58 10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375453" w:rsidRPr="001F5691" w14:paraId="3DCC6067" w14:textId="77777777" w:rsidTr="008D7E7B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14:paraId="786F54E4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21895B4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1,90 10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434035D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1,07 10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A71F2FB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8,53 10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40836C1D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1,93 10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0CD761B7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1,94 10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375453" w:rsidRPr="001F5691" w14:paraId="30B47AF8" w14:textId="77777777" w:rsidTr="008D7E7B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14:paraId="649B2EBA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05C7135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2,54 10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56FDDB6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1,43 10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0F9978B2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9,85 10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0DB7F585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2,23 10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552B346" w14:textId="77777777" w:rsidR="00375453" w:rsidRPr="001F5691" w:rsidRDefault="00375453" w:rsidP="00CF3D75">
            <w:pPr>
              <w:jc w:val="both"/>
              <w:rPr>
                <w:rFonts w:ascii="Times New Roman" w:hAnsi="Times New Roman" w:cs="Times New Roman"/>
              </w:rPr>
            </w:pPr>
            <w:r w:rsidRPr="001F5691">
              <w:rPr>
                <w:rFonts w:ascii="Times New Roman" w:hAnsi="Times New Roman" w:cs="Times New Roman"/>
              </w:rPr>
              <w:t>2,23 10</w:t>
            </w:r>
            <w:r w:rsidRPr="001F5691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</w:tbl>
    <w:p w14:paraId="62460715" w14:textId="77777777" w:rsidR="00757F57" w:rsidRDefault="00757F57" w:rsidP="008D7E7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159C111" w14:textId="77777777" w:rsidR="00757F57" w:rsidRPr="00953FAD" w:rsidRDefault="00757F57" w:rsidP="00D302D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3FAD">
        <w:rPr>
          <w:rFonts w:ascii="Times New Roman" w:hAnsi="Times New Roman" w:cs="Times New Roman"/>
          <w:b/>
          <w:sz w:val="24"/>
          <w:szCs w:val="28"/>
        </w:rPr>
        <w:t>Résultats : e</w:t>
      </w:r>
      <w:r w:rsidR="00375453" w:rsidRPr="00953FAD">
        <w:rPr>
          <w:rFonts w:ascii="Times New Roman" w:hAnsi="Times New Roman" w:cs="Times New Roman"/>
          <w:b/>
          <w:sz w:val="24"/>
          <w:szCs w:val="28"/>
        </w:rPr>
        <w:t xml:space="preserve">stimation de la densité de courant </w:t>
      </w:r>
    </w:p>
    <w:p w14:paraId="66DEEE2C" w14:textId="6B5067AA" w:rsidR="00375453" w:rsidRPr="00757F57" w:rsidRDefault="00375453" w:rsidP="00757F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7F57">
        <w:rPr>
          <w:rFonts w:ascii="Times New Roman" w:hAnsi="Times New Roman" w:cs="Times New Roman"/>
          <w:sz w:val="24"/>
        </w:rPr>
        <w:t>La concentration initiale en Cr (VI) de l’effluent est de 200 ppm, ce qui correspond à 3.85 mol/m</w:t>
      </w:r>
      <w:r w:rsidRPr="00757F57">
        <w:rPr>
          <w:rFonts w:ascii="Times New Roman" w:hAnsi="Times New Roman" w:cs="Times New Roman"/>
          <w:sz w:val="24"/>
          <w:vertAlign w:val="superscript"/>
        </w:rPr>
        <w:t>3</w:t>
      </w:r>
      <w:r w:rsidRPr="00757F57">
        <w:rPr>
          <w:rFonts w:ascii="Times New Roman" w:hAnsi="Times New Roman" w:cs="Times New Roman"/>
          <w:sz w:val="24"/>
        </w:rPr>
        <w:t>, la densité de courant limite est égale à 12.51, 17.69, 21.67 et 25.02 pour les densités de courant appliquées de 50, 100, 150 et 200 A/m</w:t>
      </w:r>
      <w:r w:rsidRPr="00757F57">
        <w:rPr>
          <w:rFonts w:ascii="Times New Roman" w:hAnsi="Times New Roman" w:cs="Times New Roman"/>
          <w:sz w:val="24"/>
          <w:vertAlign w:val="superscript"/>
        </w:rPr>
        <w:t>2</w:t>
      </w:r>
      <w:r w:rsidRPr="00757F57">
        <w:rPr>
          <w:rFonts w:ascii="Times New Roman" w:hAnsi="Times New Roman" w:cs="Times New Roman"/>
          <w:sz w:val="24"/>
        </w:rPr>
        <w:t xml:space="preserve"> respectivement. </w:t>
      </w:r>
    </w:p>
    <w:p w14:paraId="1163F89C" w14:textId="77777777" w:rsidR="00375453" w:rsidRPr="008D7E7B" w:rsidRDefault="00375453" w:rsidP="008D7E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E7B">
        <w:rPr>
          <w:rFonts w:ascii="Times New Roman" w:hAnsi="Times New Roman" w:cs="Times New Roman"/>
          <w:sz w:val="24"/>
        </w:rPr>
        <w:t>La réduction électrochimique directe du chrome utilise une fraction de la densité de courant, et l’autre fraction est utilisée pour le dégagement d’hydrogène.</w:t>
      </w:r>
    </w:p>
    <w:p w14:paraId="5276000D" w14:textId="77777777" w:rsidR="005E6A6F" w:rsidRPr="003C1756" w:rsidRDefault="005E6A6F" w:rsidP="00D90788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FAD">
        <w:rPr>
          <w:rFonts w:ascii="Times New Roman" w:hAnsi="Times New Roman" w:cs="Times New Roman"/>
          <w:b/>
          <w:sz w:val="24"/>
          <w:szCs w:val="28"/>
        </w:rPr>
        <w:t>Conclusion</w:t>
      </w:r>
      <w:r w:rsidRPr="003C1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ECC825" w14:textId="77777777" w:rsidR="00375453" w:rsidRPr="008D7E7B" w:rsidRDefault="00375453" w:rsidP="007038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E7B">
        <w:rPr>
          <w:rFonts w:ascii="Times New Roman" w:hAnsi="Times New Roman" w:cs="Times New Roman"/>
          <w:sz w:val="24"/>
        </w:rPr>
        <w:t>Le calcul de l’intensité de courant permet aux praticiens, aux techniciens ou à l’ingénieur effectuant des traitements d’eaux usées par ce procédé de savoir estimer les transferts de charge et de matière s’effectuant pendant l’opération. Cette fiche s’adresse à tout manipulateur de procédé d’électrocoagulation.</w:t>
      </w:r>
    </w:p>
    <w:p w14:paraId="52FD1263" w14:textId="77777777" w:rsidR="00E042A9" w:rsidRPr="00953FAD" w:rsidRDefault="00DB6343" w:rsidP="00D9078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953FAD">
        <w:rPr>
          <w:rFonts w:ascii="Times New Roman" w:hAnsi="Times New Roman" w:cs="Times New Roman"/>
          <w:b/>
          <w:sz w:val="24"/>
          <w:szCs w:val="28"/>
        </w:rPr>
        <w:t>Pour en savoir plus</w:t>
      </w:r>
      <w:r w:rsidR="002A458F" w:rsidRPr="00953F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97CE8" w:rsidRPr="00953FAD">
        <w:rPr>
          <w:rFonts w:ascii="Times New Roman" w:hAnsi="Times New Roman" w:cs="Times New Roman"/>
          <w:b/>
          <w:sz w:val="24"/>
          <w:szCs w:val="28"/>
        </w:rPr>
        <w:t xml:space="preserve"> - Bibliographie indicative </w:t>
      </w:r>
    </w:p>
    <w:p w14:paraId="51B73E99" w14:textId="377C0443" w:rsidR="003C1756" w:rsidRPr="00CC3F2D" w:rsidRDefault="00B53A1C" w:rsidP="00CC3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F2D">
        <w:rPr>
          <w:rFonts w:ascii="Times New Roman" w:hAnsi="Times New Roman" w:cs="Times New Roman"/>
          <w:sz w:val="24"/>
          <w:szCs w:val="24"/>
          <w:lang w:val="en-US"/>
        </w:rPr>
        <w:t>Pickett</w:t>
      </w:r>
      <w:r w:rsidR="00CC3F2D" w:rsidRPr="00CC3F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756" w:rsidRPr="00CC3F2D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CC3F2D" w:rsidRPr="00CC3F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756" w:rsidRPr="00CC3F2D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CC3F2D" w:rsidRPr="00CC3F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756"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F57" w:rsidRPr="00CC3F2D">
        <w:rPr>
          <w:rFonts w:ascii="Times New Roman" w:hAnsi="Times New Roman" w:cs="Times New Roman"/>
          <w:sz w:val="24"/>
          <w:szCs w:val="24"/>
          <w:lang w:val="en-US"/>
        </w:rPr>
        <w:t>(1977).</w:t>
      </w:r>
      <w:r w:rsidR="003C1756"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 Electrochemical reactor </w:t>
      </w:r>
      <w:r w:rsidR="00757F57" w:rsidRPr="00CC3F2D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3C1756"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, Elsevier, New York </w:t>
      </w:r>
    </w:p>
    <w:p w14:paraId="7DE95D3A" w14:textId="186C69EE" w:rsidR="003C1756" w:rsidRPr="00CC3F2D" w:rsidRDefault="00B53A1C" w:rsidP="00CC3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F2D">
        <w:rPr>
          <w:rFonts w:ascii="Times New Roman" w:hAnsi="Times New Roman" w:cs="Times New Roman"/>
          <w:sz w:val="24"/>
          <w:szCs w:val="24"/>
        </w:rPr>
        <w:t>Coeuret</w:t>
      </w:r>
      <w:proofErr w:type="spellEnd"/>
      <w:r w:rsidR="00CC3F2D" w:rsidRPr="00CC3F2D">
        <w:rPr>
          <w:rFonts w:ascii="Times New Roman" w:hAnsi="Times New Roman" w:cs="Times New Roman"/>
          <w:sz w:val="24"/>
          <w:szCs w:val="24"/>
        </w:rPr>
        <w:t>,</w:t>
      </w:r>
      <w:r w:rsidRPr="00CC3F2D">
        <w:rPr>
          <w:rFonts w:ascii="Times New Roman" w:hAnsi="Times New Roman" w:cs="Times New Roman"/>
          <w:sz w:val="24"/>
          <w:szCs w:val="24"/>
        </w:rPr>
        <w:t xml:space="preserve"> </w:t>
      </w:r>
      <w:r w:rsidR="00757F57" w:rsidRPr="00CC3F2D">
        <w:rPr>
          <w:rFonts w:ascii="Times New Roman" w:hAnsi="Times New Roman" w:cs="Times New Roman"/>
          <w:sz w:val="24"/>
          <w:szCs w:val="24"/>
        </w:rPr>
        <w:t xml:space="preserve">F., </w:t>
      </w:r>
      <w:proofErr w:type="spellStart"/>
      <w:r w:rsidRPr="00CC3F2D">
        <w:rPr>
          <w:rFonts w:ascii="Times New Roman" w:hAnsi="Times New Roman" w:cs="Times New Roman"/>
          <w:sz w:val="24"/>
          <w:szCs w:val="24"/>
        </w:rPr>
        <w:t>Storck</w:t>
      </w:r>
      <w:proofErr w:type="spellEnd"/>
      <w:r w:rsidR="00CC3F2D" w:rsidRPr="00CC3F2D">
        <w:rPr>
          <w:rFonts w:ascii="Times New Roman" w:hAnsi="Times New Roman" w:cs="Times New Roman"/>
          <w:sz w:val="24"/>
          <w:szCs w:val="24"/>
        </w:rPr>
        <w:t>,</w:t>
      </w:r>
      <w:r w:rsidRPr="00CC3F2D">
        <w:rPr>
          <w:rFonts w:ascii="Times New Roman" w:hAnsi="Times New Roman" w:cs="Times New Roman"/>
          <w:sz w:val="24"/>
          <w:szCs w:val="24"/>
        </w:rPr>
        <w:t xml:space="preserve"> </w:t>
      </w:r>
      <w:r w:rsidR="00757F57" w:rsidRPr="00CC3F2D">
        <w:rPr>
          <w:rFonts w:ascii="Times New Roman" w:hAnsi="Times New Roman" w:cs="Times New Roman"/>
          <w:sz w:val="24"/>
          <w:szCs w:val="24"/>
        </w:rPr>
        <w:t>A.</w:t>
      </w:r>
      <w:r w:rsidR="00CC3F2D" w:rsidRPr="00CC3F2D">
        <w:rPr>
          <w:rFonts w:ascii="Times New Roman" w:hAnsi="Times New Roman" w:cs="Times New Roman"/>
          <w:sz w:val="24"/>
          <w:szCs w:val="24"/>
        </w:rPr>
        <w:t>,</w:t>
      </w:r>
      <w:r w:rsidR="00757F57" w:rsidRPr="00CC3F2D">
        <w:rPr>
          <w:rFonts w:ascii="Times New Roman" w:hAnsi="Times New Roman" w:cs="Times New Roman"/>
          <w:sz w:val="24"/>
          <w:szCs w:val="24"/>
        </w:rPr>
        <w:t xml:space="preserve"> (1984).</w:t>
      </w:r>
      <w:r w:rsidR="003C1756" w:rsidRPr="00CC3F2D">
        <w:rPr>
          <w:rFonts w:ascii="Times New Roman" w:hAnsi="Times New Roman" w:cs="Times New Roman"/>
          <w:sz w:val="24"/>
          <w:szCs w:val="24"/>
        </w:rPr>
        <w:t> El</w:t>
      </w:r>
      <w:r w:rsidR="00757F57" w:rsidRPr="00CC3F2D">
        <w:rPr>
          <w:rFonts w:ascii="Times New Roman" w:hAnsi="Times New Roman" w:cs="Times New Roman"/>
          <w:sz w:val="24"/>
          <w:szCs w:val="24"/>
        </w:rPr>
        <w:t>éments de Génie Electrochimique</w:t>
      </w:r>
      <w:r w:rsidR="003C1756" w:rsidRPr="00CC3F2D">
        <w:rPr>
          <w:rFonts w:ascii="Times New Roman" w:hAnsi="Times New Roman" w:cs="Times New Roman"/>
          <w:sz w:val="24"/>
          <w:szCs w:val="24"/>
        </w:rPr>
        <w:t xml:space="preserve">, </w:t>
      </w:r>
      <w:r w:rsidR="003C1756" w:rsidRPr="00CC3F2D">
        <w:rPr>
          <w:rFonts w:ascii="Times New Roman" w:hAnsi="Times New Roman" w:cs="Times New Roman"/>
          <w:i/>
          <w:sz w:val="24"/>
          <w:szCs w:val="24"/>
        </w:rPr>
        <w:t>Lavoisier, Tech &amp; Doc</w:t>
      </w:r>
      <w:r w:rsidR="003C1756" w:rsidRPr="00CC3F2D">
        <w:rPr>
          <w:rFonts w:ascii="Times New Roman" w:hAnsi="Times New Roman" w:cs="Times New Roman"/>
          <w:sz w:val="24"/>
          <w:szCs w:val="24"/>
        </w:rPr>
        <w:t>, Paris;</w:t>
      </w:r>
    </w:p>
    <w:p w14:paraId="1C433BC3" w14:textId="77777777" w:rsidR="00CC3F2D" w:rsidRDefault="00B552B6" w:rsidP="00CC3F2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CC3F2D">
        <w:rPr>
          <w:rFonts w:ascii="Times New Roman" w:hAnsi="Times New Roman" w:cs="Times New Roman"/>
          <w:sz w:val="24"/>
          <w:lang w:val="en-GB"/>
        </w:rPr>
        <w:t>Zongo</w:t>
      </w:r>
      <w:proofErr w:type="spellEnd"/>
      <w:r w:rsidR="00CC3F2D" w:rsidRPr="00CC3F2D">
        <w:rPr>
          <w:rFonts w:ascii="Times New Roman" w:hAnsi="Times New Roman" w:cs="Times New Roman"/>
          <w:sz w:val="24"/>
          <w:lang w:val="en-GB"/>
        </w:rPr>
        <w:t>,</w:t>
      </w:r>
      <w:r w:rsidRPr="00CC3F2D">
        <w:rPr>
          <w:rFonts w:ascii="Times New Roman" w:hAnsi="Times New Roman" w:cs="Times New Roman"/>
          <w:sz w:val="24"/>
          <w:lang w:val="en-GB"/>
        </w:rPr>
        <w:t xml:space="preserve"> I., Leclerc</w:t>
      </w:r>
      <w:r w:rsidR="00CC3F2D" w:rsidRPr="00CC3F2D">
        <w:rPr>
          <w:rFonts w:ascii="Times New Roman" w:hAnsi="Times New Roman" w:cs="Times New Roman"/>
          <w:sz w:val="24"/>
          <w:lang w:val="en-GB"/>
        </w:rPr>
        <w:t>,</w:t>
      </w:r>
      <w:r w:rsidRPr="00CC3F2D">
        <w:rPr>
          <w:rFonts w:ascii="Times New Roman" w:hAnsi="Times New Roman" w:cs="Times New Roman"/>
          <w:sz w:val="24"/>
          <w:lang w:val="en-GB"/>
        </w:rPr>
        <w:t xml:space="preserve"> J-P., </w:t>
      </w:r>
      <w:proofErr w:type="spellStart"/>
      <w:r w:rsidRPr="00CC3F2D">
        <w:rPr>
          <w:rFonts w:ascii="Times New Roman" w:hAnsi="Times New Roman" w:cs="Times New Roman"/>
          <w:sz w:val="24"/>
          <w:lang w:val="en-GB"/>
        </w:rPr>
        <w:t>Maiga</w:t>
      </w:r>
      <w:proofErr w:type="spellEnd"/>
      <w:r w:rsidR="00CC3F2D" w:rsidRPr="00CC3F2D">
        <w:rPr>
          <w:rFonts w:ascii="Times New Roman" w:hAnsi="Times New Roman" w:cs="Times New Roman"/>
          <w:sz w:val="24"/>
          <w:lang w:val="en-GB"/>
        </w:rPr>
        <w:t>,</w:t>
      </w:r>
      <w:r w:rsidRPr="00CC3F2D">
        <w:rPr>
          <w:rFonts w:ascii="Times New Roman" w:hAnsi="Times New Roman" w:cs="Times New Roman"/>
          <w:sz w:val="24"/>
          <w:lang w:val="en-GB"/>
        </w:rPr>
        <w:t xml:space="preserve"> H.</w:t>
      </w:r>
      <w:r w:rsidR="00CC3F2D" w:rsidRPr="00CC3F2D">
        <w:rPr>
          <w:rFonts w:ascii="Times New Roman" w:hAnsi="Times New Roman" w:cs="Times New Roman"/>
          <w:sz w:val="24"/>
          <w:lang w:val="en-GB"/>
        </w:rPr>
        <w:t>,</w:t>
      </w:r>
      <w:r w:rsidRPr="00CC3F2D">
        <w:rPr>
          <w:rFonts w:ascii="Times New Roman" w:hAnsi="Times New Roman" w:cs="Times New Roman"/>
          <w:sz w:val="24"/>
          <w:lang w:val="en-GB"/>
        </w:rPr>
        <w:t xml:space="preserve"> A., </w:t>
      </w:r>
      <w:proofErr w:type="spellStart"/>
      <w:r w:rsidRPr="00CC3F2D">
        <w:rPr>
          <w:rFonts w:ascii="Times New Roman" w:hAnsi="Times New Roman" w:cs="Times New Roman"/>
          <w:sz w:val="24"/>
          <w:lang w:val="en-GB"/>
        </w:rPr>
        <w:t>Wéthé</w:t>
      </w:r>
      <w:proofErr w:type="spellEnd"/>
      <w:r w:rsidR="00CC3F2D" w:rsidRPr="00CC3F2D">
        <w:rPr>
          <w:rFonts w:ascii="Times New Roman" w:hAnsi="Times New Roman" w:cs="Times New Roman"/>
          <w:sz w:val="24"/>
          <w:lang w:val="en-GB"/>
        </w:rPr>
        <w:t>,</w:t>
      </w:r>
      <w:r w:rsidRPr="00CC3F2D">
        <w:rPr>
          <w:rFonts w:ascii="Times New Roman" w:hAnsi="Times New Roman" w:cs="Times New Roman"/>
          <w:sz w:val="24"/>
          <w:lang w:val="en-GB"/>
        </w:rPr>
        <w:t xml:space="preserve"> J., </w:t>
      </w:r>
      <w:proofErr w:type="spellStart"/>
      <w:r w:rsidRPr="00CC3F2D">
        <w:rPr>
          <w:rFonts w:ascii="Times New Roman" w:hAnsi="Times New Roman" w:cs="Times New Roman"/>
          <w:sz w:val="24"/>
          <w:lang w:val="en-GB"/>
        </w:rPr>
        <w:t>Lapicque</w:t>
      </w:r>
      <w:proofErr w:type="spellEnd"/>
      <w:r w:rsidR="00CC3F2D" w:rsidRPr="00CC3F2D">
        <w:rPr>
          <w:rFonts w:ascii="Times New Roman" w:hAnsi="Times New Roman" w:cs="Times New Roman"/>
          <w:sz w:val="24"/>
          <w:lang w:val="en-GB"/>
        </w:rPr>
        <w:t>,</w:t>
      </w:r>
      <w:r w:rsidRPr="00CC3F2D">
        <w:rPr>
          <w:rFonts w:ascii="Times New Roman" w:hAnsi="Times New Roman" w:cs="Times New Roman"/>
          <w:sz w:val="24"/>
          <w:lang w:val="en-GB"/>
        </w:rPr>
        <w:t xml:space="preserve"> F.</w:t>
      </w:r>
      <w:r w:rsidR="00CC3F2D" w:rsidRPr="00CC3F2D">
        <w:rPr>
          <w:rFonts w:ascii="Times New Roman" w:hAnsi="Times New Roman" w:cs="Times New Roman"/>
          <w:sz w:val="24"/>
          <w:lang w:val="en-GB"/>
        </w:rPr>
        <w:t>,</w:t>
      </w:r>
      <w:r w:rsidRPr="00CC3F2D">
        <w:rPr>
          <w:rFonts w:ascii="Times New Roman" w:hAnsi="Times New Roman" w:cs="Times New Roman"/>
          <w:sz w:val="24"/>
          <w:lang w:val="en-GB"/>
        </w:rPr>
        <w:t xml:space="preserve"> (2009). Removal of hexavalent chromium from industrial wastewater by electrocoagulation: a comprehensive comparison of aluminium and iron electrodes, Separation and Purification Technology 66 (2009) 159-166p.</w:t>
      </w:r>
    </w:p>
    <w:p w14:paraId="368FAAA9" w14:textId="06AE3A02" w:rsidR="00CC3F2D" w:rsidRPr="00CC3F2D" w:rsidRDefault="00CC3F2D" w:rsidP="00CC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F2D">
        <w:rPr>
          <w:rFonts w:ascii="Times New Roman" w:hAnsi="Times New Roman" w:cs="Times New Roman"/>
          <w:sz w:val="24"/>
          <w:szCs w:val="24"/>
          <w:lang w:val="en-US"/>
        </w:rPr>
        <w:t>Heidmann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3F2D">
        <w:rPr>
          <w:rFonts w:ascii="Times New Roman" w:hAnsi="Times New Roman" w:cs="Times New Roman"/>
          <w:sz w:val="24"/>
          <w:szCs w:val="24"/>
          <w:lang w:val="en-US"/>
        </w:rPr>
        <w:t>Calmano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 W.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 (2008). Removal of Zn(II), Cu(II), Ni(II), Ag(I) and Cr(VI) present in aqueous solutions by </w:t>
      </w:r>
      <w:proofErr w:type="spellStart"/>
      <w:r w:rsidRPr="00CC3F2D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 electrocoagulation, </w:t>
      </w:r>
      <w:r w:rsidRPr="00CC3F2D">
        <w:rPr>
          <w:rFonts w:ascii="Times New Roman" w:hAnsi="Times New Roman" w:cs="Times New Roman"/>
          <w:i/>
          <w:sz w:val="24"/>
          <w:szCs w:val="24"/>
          <w:lang w:val="en-US"/>
        </w:rPr>
        <w:t>J. Hazard. Materials</w:t>
      </w:r>
      <w:r w:rsidRPr="00CC3F2D">
        <w:rPr>
          <w:rFonts w:ascii="Times New Roman" w:hAnsi="Times New Roman" w:cs="Times New Roman"/>
          <w:sz w:val="24"/>
          <w:szCs w:val="24"/>
          <w:lang w:val="en-US"/>
        </w:rPr>
        <w:t xml:space="preserve"> 152(3) 934-941 p.</w:t>
      </w:r>
    </w:p>
    <w:p w14:paraId="0F0E1A5A" w14:textId="5A585775" w:rsidR="00C02CFE" w:rsidRPr="00CC3F2D" w:rsidRDefault="00B53A1C" w:rsidP="0023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2D">
        <w:rPr>
          <w:rFonts w:ascii="Times New Roman" w:hAnsi="Times New Roman" w:cs="Times New Roman"/>
          <w:sz w:val="28"/>
          <w:szCs w:val="28"/>
        </w:rPr>
        <w:tab/>
      </w:r>
    </w:p>
    <w:sectPr w:rsidR="00C02CFE" w:rsidRPr="00CC3F2D" w:rsidSect="00DE381E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10126" w14:textId="77777777" w:rsidR="00166B68" w:rsidRDefault="00166B68" w:rsidP="00C02CFE">
      <w:pPr>
        <w:spacing w:after="0" w:line="240" w:lineRule="auto"/>
      </w:pPr>
      <w:r>
        <w:separator/>
      </w:r>
    </w:p>
  </w:endnote>
  <w:endnote w:type="continuationSeparator" w:id="0">
    <w:p w14:paraId="3E4DBDE3" w14:textId="77777777" w:rsidR="00166B68" w:rsidRDefault="00166B68" w:rsidP="00C0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4368345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5E7499" w14:textId="7802DCC3" w:rsidR="00E4759C" w:rsidRDefault="00E4759C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7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8"/>
              </w:rPr>
              <w:t>La reproduction partielle ou totale de cette fiche sans référence à la source est interdite</w:t>
            </w:r>
          </w:p>
          <w:p w14:paraId="0BAC00B4" w14:textId="00E69C9E" w:rsidR="00E4759C" w:rsidRDefault="00E4759C" w:rsidP="00E4759C">
            <w:pPr>
              <w:pStyle w:val="Pieddepage"/>
              <w:tabs>
                <w:tab w:val="left" w:pos="54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0EB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sdtContent>
      </w:sdt>
    </w:sdtContent>
  </w:sdt>
  <w:p w14:paraId="0B81CE5E" w14:textId="77777777" w:rsidR="00C02CFE" w:rsidRDefault="00C02C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0547D" w14:textId="77777777" w:rsidR="00166B68" w:rsidRDefault="00166B68" w:rsidP="00C02CFE">
      <w:pPr>
        <w:spacing w:after="0" w:line="240" w:lineRule="auto"/>
      </w:pPr>
      <w:r>
        <w:separator/>
      </w:r>
    </w:p>
  </w:footnote>
  <w:footnote w:type="continuationSeparator" w:id="0">
    <w:p w14:paraId="584AF944" w14:textId="77777777" w:rsidR="00166B68" w:rsidRDefault="00166B68" w:rsidP="00C0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DB4"/>
    <w:multiLevelType w:val="hybridMultilevel"/>
    <w:tmpl w:val="85F6A9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17928"/>
    <w:multiLevelType w:val="hybridMultilevel"/>
    <w:tmpl w:val="35242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3FD3"/>
    <w:multiLevelType w:val="multilevel"/>
    <w:tmpl w:val="F8080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312354"/>
    <w:multiLevelType w:val="hybridMultilevel"/>
    <w:tmpl w:val="064AB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F"/>
    <w:rsid w:val="000025FD"/>
    <w:rsid w:val="000036BC"/>
    <w:rsid w:val="0000576A"/>
    <w:rsid w:val="00020CF1"/>
    <w:rsid w:val="000307B7"/>
    <w:rsid w:val="00030867"/>
    <w:rsid w:val="00033498"/>
    <w:rsid w:val="000379C9"/>
    <w:rsid w:val="0005267D"/>
    <w:rsid w:val="00061B3E"/>
    <w:rsid w:val="00062C0C"/>
    <w:rsid w:val="00064FC1"/>
    <w:rsid w:val="00065B0B"/>
    <w:rsid w:val="000675FD"/>
    <w:rsid w:val="000708F7"/>
    <w:rsid w:val="0007686D"/>
    <w:rsid w:val="000771E1"/>
    <w:rsid w:val="00080C09"/>
    <w:rsid w:val="00085EF0"/>
    <w:rsid w:val="0009096F"/>
    <w:rsid w:val="00092FF8"/>
    <w:rsid w:val="00094372"/>
    <w:rsid w:val="000A2EF2"/>
    <w:rsid w:val="000B2F15"/>
    <w:rsid w:val="000C598E"/>
    <w:rsid w:val="000C77AF"/>
    <w:rsid w:val="000D5529"/>
    <w:rsid w:val="000D6FAA"/>
    <w:rsid w:val="000E1F9F"/>
    <w:rsid w:val="000E75CE"/>
    <w:rsid w:val="000F2592"/>
    <w:rsid w:val="00100DB0"/>
    <w:rsid w:val="001010A2"/>
    <w:rsid w:val="00101B23"/>
    <w:rsid w:val="0010599E"/>
    <w:rsid w:val="0011269F"/>
    <w:rsid w:val="001143D7"/>
    <w:rsid w:val="0012650B"/>
    <w:rsid w:val="001301FF"/>
    <w:rsid w:val="00137149"/>
    <w:rsid w:val="00144179"/>
    <w:rsid w:val="00145474"/>
    <w:rsid w:val="00156232"/>
    <w:rsid w:val="001567B4"/>
    <w:rsid w:val="00157B06"/>
    <w:rsid w:val="00157CE7"/>
    <w:rsid w:val="00165F96"/>
    <w:rsid w:val="00166B68"/>
    <w:rsid w:val="00172C75"/>
    <w:rsid w:val="00176FAD"/>
    <w:rsid w:val="00177462"/>
    <w:rsid w:val="00181F40"/>
    <w:rsid w:val="00187D23"/>
    <w:rsid w:val="00187F18"/>
    <w:rsid w:val="001935A9"/>
    <w:rsid w:val="001A1110"/>
    <w:rsid w:val="001A3DD3"/>
    <w:rsid w:val="001B0B52"/>
    <w:rsid w:val="001B2BF2"/>
    <w:rsid w:val="001B35F6"/>
    <w:rsid w:val="001D7DDB"/>
    <w:rsid w:val="001E4791"/>
    <w:rsid w:val="001F0DDF"/>
    <w:rsid w:val="001F7D48"/>
    <w:rsid w:val="00200B2B"/>
    <w:rsid w:val="00204924"/>
    <w:rsid w:val="0020502F"/>
    <w:rsid w:val="0020674B"/>
    <w:rsid w:val="00225CEE"/>
    <w:rsid w:val="00226A3C"/>
    <w:rsid w:val="00233039"/>
    <w:rsid w:val="00240D81"/>
    <w:rsid w:val="00254769"/>
    <w:rsid w:val="002552D8"/>
    <w:rsid w:val="002611D3"/>
    <w:rsid w:val="0026258E"/>
    <w:rsid w:val="0026391B"/>
    <w:rsid w:val="002A0740"/>
    <w:rsid w:val="002A19BF"/>
    <w:rsid w:val="002A458F"/>
    <w:rsid w:val="002B2283"/>
    <w:rsid w:val="002C0025"/>
    <w:rsid w:val="002E706F"/>
    <w:rsid w:val="002F6DB6"/>
    <w:rsid w:val="00303387"/>
    <w:rsid w:val="0030402C"/>
    <w:rsid w:val="0031027E"/>
    <w:rsid w:val="003174E9"/>
    <w:rsid w:val="00323319"/>
    <w:rsid w:val="003317B8"/>
    <w:rsid w:val="003428D0"/>
    <w:rsid w:val="003430B0"/>
    <w:rsid w:val="00344319"/>
    <w:rsid w:val="00344D34"/>
    <w:rsid w:val="00345AB5"/>
    <w:rsid w:val="0034750B"/>
    <w:rsid w:val="00347EA7"/>
    <w:rsid w:val="00347F53"/>
    <w:rsid w:val="00352CAF"/>
    <w:rsid w:val="00353930"/>
    <w:rsid w:val="00360FB8"/>
    <w:rsid w:val="00375453"/>
    <w:rsid w:val="00382102"/>
    <w:rsid w:val="003920A1"/>
    <w:rsid w:val="00392A6D"/>
    <w:rsid w:val="00394E52"/>
    <w:rsid w:val="003A5347"/>
    <w:rsid w:val="003C12CF"/>
    <w:rsid w:val="003C1756"/>
    <w:rsid w:val="003C1FED"/>
    <w:rsid w:val="003C2A83"/>
    <w:rsid w:val="003D561A"/>
    <w:rsid w:val="003D6D2A"/>
    <w:rsid w:val="003E3157"/>
    <w:rsid w:val="003E46F9"/>
    <w:rsid w:val="003E4BBE"/>
    <w:rsid w:val="003E705F"/>
    <w:rsid w:val="003E7B5B"/>
    <w:rsid w:val="003F4CCE"/>
    <w:rsid w:val="003F56B4"/>
    <w:rsid w:val="003F70D0"/>
    <w:rsid w:val="00403B75"/>
    <w:rsid w:val="0041173B"/>
    <w:rsid w:val="00416788"/>
    <w:rsid w:val="004174CE"/>
    <w:rsid w:val="00425E43"/>
    <w:rsid w:val="00435240"/>
    <w:rsid w:val="00451248"/>
    <w:rsid w:val="00455923"/>
    <w:rsid w:val="004563E4"/>
    <w:rsid w:val="00461F47"/>
    <w:rsid w:val="00472D81"/>
    <w:rsid w:val="00476B94"/>
    <w:rsid w:val="00481296"/>
    <w:rsid w:val="00483CC5"/>
    <w:rsid w:val="00486494"/>
    <w:rsid w:val="00487DCE"/>
    <w:rsid w:val="00494E78"/>
    <w:rsid w:val="004A13F7"/>
    <w:rsid w:val="004A1C4C"/>
    <w:rsid w:val="004A2031"/>
    <w:rsid w:val="004A6F05"/>
    <w:rsid w:val="004B014D"/>
    <w:rsid w:val="004B4F7E"/>
    <w:rsid w:val="004E75AF"/>
    <w:rsid w:val="004F5610"/>
    <w:rsid w:val="004F6D73"/>
    <w:rsid w:val="005034C9"/>
    <w:rsid w:val="00511BCA"/>
    <w:rsid w:val="00512432"/>
    <w:rsid w:val="0051269E"/>
    <w:rsid w:val="00512F6A"/>
    <w:rsid w:val="005141F3"/>
    <w:rsid w:val="00515643"/>
    <w:rsid w:val="00522824"/>
    <w:rsid w:val="00526DCF"/>
    <w:rsid w:val="0053075A"/>
    <w:rsid w:val="00531AEF"/>
    <w:rsid w:val="00534348"/>
    <w:rsid w:val="00536427"/>
    <w:rsid w:val="00542918"/>
    <w:rsid w:val="005463D9"/>
    <w:rsid w:val="00546E10"/>
    <w:rsid w:val="005517A7"/>
    <w:rsid w:val="0055186C"/>
    <w:rsid w:val="005546D9"/>
    <w:rsid w:val="005556FD"/>
    <w:rsid w:val="0056137B"/>
    <w:rsid w:val="0056340A"/>
    <w:rsid w:val="005640FD"/>
    <w:rsid w:val="00574C55"/>
    <w:rsid w:val="00580EEA"/>
    <w:rsid w:val="0058117F"/>
    <w:rsid w:val="00584EB5"/>
    <w:rsid w:val="00585D9F"/>
    <w:rsid w:val="00587CF9"/>
    <w:rsid w:val="00596F2D"/>
    <w:rsid w:val="005976B0"/>
    <w:rsid w:val="00597CE8"/>
    <w:rsid w:val="00597E73"/>
    <w:rsid w:val="005A00DD"/>
    <w:rsid w:val="005A1E4B"/>
    <w:rsid w:val="005A404C"/>
    <w:rsid w:val="005B0D0D"/>
    <w:rsid w:val="005C1539"/>
    <w:rsid w:val="005C4447"/>
    <w:rsid w:val="005C6B99"/>
    <w:rsid w:val="005D29AC"/>
    <w:rsid w:val="005D3C4D"/>
    <w:rsid w:val="005E2096"/>
    <w:rsid w:val="005E6A6F"/>
    <w:rsid w:val="005F3C1B"/>
    <w:rsid w:val="005F47FB"/>
    <w:rsid w:val="00602B41"/>
    <w:rsid w:val="00603345"/>
    <w:rsid w:val="00603E70"/>
    <w:rsid w:val="006077A6"/>
    <w:rsid w:val="006155A0"/>
    <w:rsid w:val="006302F7"/>
    <w:rsid w:val="00631103"/>
    <w:rsid w:val="00636DA5"/>
    <w:rsid w:val="006418D7"/>
    <w:rsid w:val="00653954"/>
    <w:rsid w:val="00654083"/>
    <w:rsid w:val="00657F34"/>
    <w:rsid w:val="00660E33"/>
    <w:rsid w:val="00681BA9"/>
    <w:rsid w:val="00691BAA"/>
    <w:rsid w:val="006955A2"/>
    <w:rsid w:val="006A1E49"/>
    <w:rsid w:val="006B0F48"/>
    <w:rsid w:val="006B7B45"/>
    <w:rsid w:val="006C1150"/>
    <w:rsid w:val="006C21E7"/>
    <w:rsid w:val="006C4A3D"/>
    <w:rsid w:val="006E349A"/>
    <w:rsid w:val="006E6001"/>
    <w:rsid w:val="00701C2D"/>
    <w:rsid w:val="007038AF"/>
    <w:rsid w:val="00707493"/>
    <w:rsid w:val="007110C7"/>
    <w:rsid w:val="00713554"/>
    <w:rsid w:val="007149A2"/>
    <w:rsid w:val="00722983"/>
    <w:rsid w:val="0072438E"/>
    <w:rsid w:val="00730361"/>
    <w:rsid w:val="00742507"/>
    <w:rsid w:val="00742DB5"/>
    <w:rsid w:val="00744B58"/>
    <w:rsid w:val="007468CF"/>
    <w:rsid w:val="00757F57"/>
    <w:rsid w:val="00771718"/>
    <w:rsid w:val="00772018"/>
    <w:rsid w:val="007734FB"/>
    <w:rsid w:val="00780EC4"/>
    <w:rsid w:val="007826F7"/>
    <w:rsid w:val="00782A7D"/>
    <w:rsid w:val="00783979"/>
    <w:rsid w:val="00791B98"/>
    <w:rsid w:val="00793270"/>
    <w:rsid w:val="007935F1"/>
    <w:rsid w:val="0079574C"/>
    <w:rsid w:val="007B1BBE"/>
    <w:rsid w:val="007B6CDC"/>
    <w:rsid w:val="007C4DC3"/>
    <w:rsid w:val="007D0EBE"/>
    <w:rsid w:val="007D2BD2"/>
    <w:rsid w:val="007D47C2"/>
    <w:rsid w:val="007D4BEC"/>
    <w:rsid w:val="007E5455"/>
    <w:rsid w:val="007F05D6"/>
    <w:rsid w:val="007F1C66"/>
    <w:rsid w:val="007F6475"/>
    <w:rsid w:val="007F7BB3"/>
    <w:rsid w:val="0080054F"/>
    <w:rsid w:val="0080132B"/>
    <w:rsid w:val="00803609"/>
    <w:rsid w:val="00805035"/>
    <w:rsid w:val="00805AFB"/>
    <w:rsid w:val="00814F21"/>
    <w:rsid w:val="0082186D"/>
    <w:rsid w:val="0082463C"/>
    <w:rsid w:val="008442BB"/>
    <w:rsid w:val="00846AEC"/>
    <w:rsid w:val="0085282B"/>
    <w:rsid w:val="0085343E"/>
    <w:rsid w:val="00854B0B"/>
    <w:rsid w:val="00855CFB"/>
    <w:rsid w:val="008561BB"/>
    <w:rsid w:val="008621F7"/>
    <w:rsid w:val="00873CDC"/>
    <w:rsid w:val="008754BF"/>
    <w:rsid w:val="008828AB"/>
    <w:rsid w:val="00887C40"/>
    <w:rsid w:val="008938A1"/>
    <w:rsid w:val="00894091"/>
    <w:rsid w:val="008A114D"/>
    <w:rsid w:val="008B0D2E"/>
    <w:rsid w:val="008C158B"/>
    <w:rsid w:val="008C3679"/>
    <w:rsid w:val="008C3DFE"/>
    <w:rsid w:val="008D0979"/>
    <w:rsid w:val="008D16A1"/>
    <w:rsid w:val="008D7E7B"/>
    <w:rsid w:val="008E2B2E"/>
    <w:rsid w:val="008F2754"/>
    <w:rsid w:val="008F781F"/>
    <w:rsid w:val="0090133F"/>
    <w:rsid w:val="00907EF1"/>
    <w:rsid w:val="00912C68"/>
    <w:rsid w:val="00913C71"/>
    <w:rsid w:val="00915CA2"/>
    <w:rsid w:val="00921F5C"/>
    <w:rsid w:val="00923627"/>
    <w:rsid w:val="009265F9"/>
    <w:rsid w:val="00931EA0"/>
    <w:rsid w:val="00936E67"/>
    <w:rsid w:val="00941ACE"/>
    <w:rsid w:val="009472B2"/>
    <w:rsid w:val="0095375C"/>
    <w:rsid w:val="00953FAD"/>
    <w:rsid w:val="00955EF9"/>
    <w:rsid w:val="009603A9"/>
    <w:rsid w:val="00967C48"/>
    <w:rsid w:val="009704DE"/>
    <w:rsid w:val="00970B86"/>
    <w:rsid w:val="00972194"/>
    <w:rsid w:val="00984458"/>
    <w:rsid w:val="009849A9"/>
    <w:rsid w:val="00987CD6"/>
    <w:rsid w:val="00996C8C"/>
    <w:rsid w:val="009A4305"/>
    <w:rsid w:val="009A4D51"/>
    <w:rsid w:val="009B03E2"/>
    <w:rsid w:val="009B0EF1"/>
    <w:rsid w:val="009B36DA"/>
    <w:rsid w:val="009B4008"/>
    <w:rsid w:val="009C0E32"/>
    <w:rsid w:val="009C2502"/>
    <w:rsid w:val="009C33EF"/>
    <w:rsid w:val="009C771B"/>
    <w:rsid w:val="009D2DFB"/>
    <w:rsid w:val="009D555D"/>
    <w:rsid w:val="009E4218"/>
    <w:rsid w:val="009F1FAD"/>
    <w:rsid w:val="00A00B4F"/>
    <w:rsid w:val="00A00D34"/>
    <w:rsid w:val="00A03621"/>
    <w:rsid w:val="00A104BA"/>
    <w:rsid w:val="00A13DB8"/>
    <w:rsid w:val="00A16433"/>
    <w:rsid w:val="00A21B37"/>
    <w:rsid w:val="00A21BE7"/>
    <w:rsid w:val="00A24DCC"/>
    <w:rsid w:val="00A26C67"/>
    <w:rsid w:val="00A33C77"/>
    <w:rsid w:val="00A37997"/>
    <w:rsid w:val="00A55B5C"/>
    <w:rsid w:val="00A65A66"/>
    <w:rsid w:val="00A74AEC"/>
    <w:rsid w:val="00A74EE7"/>
    <w:rsid w:val="00A755C1"/>
    <w:rsid w:val="00A76C24"/>
    <w:rsid w:val="00A82239"/>
    <w:rsid w:val="00A852EF"/>
    <w:rsid w:val="00A928EE"/>
    <w:rsid w:val="00A9397C"/>
    <w:rsid w:val="00AA21A3"/>
    <w:rsid w:val="00AA4ED5"/>
    <w:rsid w:val="00AA60C8"/>
    <w:rsid w:val="00AA6383"/>
    <w:rsid w:val="00AA7BA1"/>
    <w:rsid w:val="00AB3DF0"/>
    <w:rsid w:val="00AD1447"/>
    <w:rsid w:val="00AD3BAF"/>
    <w:rsid w:val="00AD5A5D"/>
    <w:rsid w:val="00AE1F76"/>
    <w:rsid w:val="00AE4881"/>
    <w:rsid w:val="00AE5A07"/>
    <w:rsid w:val="00AF2E96"/>
    <w:rsid w:val="00B103E8"/>
    <w:rsid w:val="00B12F4C"/>
    <w:rsid w:val="00B452A5"/>
    <w:rsid w:val="00B53A1C"/>
    <w:rsid w:val="00B552B6"/>
    <w:rsid w:val="00B564F4"/>
    <w:rsid w:val="00B5697C"/>
    <w:rsid w:val="00B62ADD"/>
    <w:rsid w:val="00B63011"/>
    <w:rsid w:val="00B66E6C"/>
    <w:rsid w:val="00B72C05"/>
    <w:rsid w:val="00B7486A"/>
    <w:rsid w:val="00B7563E"/>
    <w:rsid w:val="00B75EEF"/>
    <w:rsid w:val="00B77AF9"/>
    <w:rsid w:val="00B82427"/>
    <w:rsid w:val="00B87047"/>
    <w:rsid w:val="00B93676"/>
    <w:rsid w:val="00BB0826"/>
    <w:rsid w:val="00BB5A06"/>
    <w:rsid w:val="00BB7798"/>
    <w:rsid w:val="00BC6458"/>
    <w:rsid w:val="00BD09D0"/>
    <w:rsid w:val="00BD1345"/>
    <w:rsid w:val="00BD53CC"/>
    <w:rsid w:val="00BE4DE9"/>
    <w:rsid w:val="00BE7565"/>
    <w:rsid w:val="00BE7932"/>
    <w:rsid w:val="00BF3F33"/>
    <w:rsid w:val="00BF459C"/>
    <w:rsid w:val="00C02CFE"/>
    <w:rsid w:val="00C05986"/>
    <w:rsid w:val="00C064B6"/>
    <w:rsid w:val="00C1430F"/>
    <w:rsid w:val="00C1436E"/>
    <w:rsid w:val="00C22687"/>
    <w:rsid w:val="00C34A97"/>
    <w:rsid w:val="00C34EFA"/>
    <w:rsid w:val="00C4217B"/>
    <w:rsid w:val="00C458C8"/>
    <w:rsid w:val="00C517F9"/>
    <w:rsid w:val="00C5579E"/>
    <w:rsid w:val="00C57BEF"/>
    <w:rsid w:val="00C66124"/>
    <w:rsid w:val="00C6701B"/>
    <w:rsid w:val="00CB37B9"/>
    <w:rsid w:val="00CB60F0"/>
    <w:rsid w:val="00CC06DA"/>
    <w:rsid w:val="00CC3F2D"/>
    <w:rsid w:val="00CD246B"/>
    <w:rsid w:val="00CD56C2"/>
    <w:rsid w:val="00CE3A4D"/>
    <w:rsid w:val="00CE4214"/>
    <w:rsid w:val="00CF11CA"/>
    <w:rsid w:val="00CF352B"/>
    <w:rsid w:val="00CF3A87"/>
    <w:rsid w:val="00CF50F8"/>
    <w:rsid w:val="00D07AE3"/>
    <w:rsid w:val="00D115F1"/>
    <w:rsid w:val="00D1211F"/>
    <w:rsid w:val="00D13203"/>
    <w:rsid w:val="00D15942"/>
    <w:rsid w:val="00D15CF8"/>
    <w:rsid w:val="00D170B4"/>
    <w:rsid w:val="00D2071E"/>
    <w:rsid w:val="00D23386"/>
    <w:rsid w:val="00D239F4"/>
    <w:rsid w:val="00D24243"/>
    <w:rsid w:val="00D249A5"/>
    <w:rsid w:val="00D33D63"/>
    <w:rsid w:val="00D36CD8"/>
    <w:rsid w:val="00D425BC"/>
    <w:rsid w:val="00D439D6"/>
    <w:rsid w:val="00D45729"/>
    <w:rsid w:val="00D55A56"/>
    <w:rsid w:val="00D65110"/>
    <w:rsid w:val="00D715BF"/>
    <w:rsid w:val="00D73ED1"/>
    <w:rsid w:val="00D7796C"/>
    <w:rsid w:val="00D80386"/>
    <w:rsid w:val="00D81109"/>
    <w:rsid w:val="00D8394B"/>
    <w:rsid w:val="00D85A2D"/>
    <w:rsid w:val="00D90788"/>
    <w:rsid w:val="00D90BD2"/>
    <w:rsid w:val="00DA233A"/>
    <w:rsid w:val="00DA737B"/>
    <w:rsid w:val="00DB190D"/>
    <w:rsid w:val="00DB6343"/>
    <w:rsid w:val="00DC22E2"/>
    <w:rsid w:val="00DD01B3"/>
    <w:rsid w:val="00DD092B"/>
    <w:rsid w:val="00DE0BA9"/>
    <w:rsid w:val="00DE1FA2"/>
    <w:rsid w:val="00DE381E"/>
    <w:rsid w:val="00DE62E0"/>
    <w:rsid w:val="00DF1B92"/>
    <w:rsid w:val="00E03F9B"/>
    <w:rsid w:val="00E042A9"/>
    <w:rsid w:val="00E05449"/>
    <w:rsid w:val="00E0677A"/>
    <w:rsid w:val="00E203FC"/>
    <w:rsid w:val="00E311C4"/>
    <w:rsid w:val="00E311F7"/>
    <w:rsid w:val="00E35161"/>
    <w:rsid w:val="00E35E8F"/>
    <w:rsid w:val="00E4759C"/>
    <w:rsid w:val="00E5138A"/>
    <w:rsid w:val="00E52467"/>
    <w:rsid w:val="00E530D5"/>
    <w:rsid w:val="00E57BF7"/>
    <w:rsid w:val="00E638ED"/>
    <w:rsid w:val="00E6642F"/>
    <w:rsid w:val="00E6725C"/>
    <w:rsid w:val="00E709B3"/>
    <w:rsid w:val="00E74C62"/>
    <w:rsid w:val="00E91284"/>
    <w:rsid w:val="00E954F3"/>
    <w:rsid w:val="00E955E7"/>
    <w:rsid w:val="00E96ACB"/>
    <w:rsid w:val="00EB07C0"/>
    <w:rsid w:val="00EC1F3D"/>
    <w:rsid w:val="00EC751A"/>
    <w:rsid w:val="00ED1093"/>
    <w:rsid w:val="00EE018F"/>
    <w:rsid w:val="00EE0A9B"/>
    <w:rsid w:val="00EE1FEA"/>
    <w:rsid w:val="00EE1FF3"/>
    <w:rsid w:val="00EF6CAC"/>
    <w:rsid w:val="00F011D5"/>
    <w:rsid w:val="00F0317A"/>
    <w:rsid w:val="00F06258"/>
    <w:rsid w:val="00F0711C"/>
    <w:rsid w:val="00F078A6"/>
    <w:rsid w:val="00F10248"/>
    <w:rsid w:val="00F13330"/>
    <w:rsid w:val="00F1606B"/>
    <w:rsid w:val="00F166AB"/>
    <w:rsid w:val="00F171E3"/>
    <w:rsid w:val="00F2348F"/>
    <w:rsid w:val="00F23E86"/>
    <w:rsid w:val="00F25BB1"/>
    <w:rsid w:val="00F55E58"/>
    <w:rsid w:val="00F622CD"/>
    <w:rsid w:val="00F70DC5"/>
    <w:rsid w:val="00F718FF"/>
    <w:rsid w:val="00F810C3"/>
    <w:rsid w:val="00F814C2"/>
    <w:rsid w:val="00F84835"/>
    <w:rsid w:val="00F92A68"/>
    <w:rsid w:val="00FA5AFA"/>
    <w:rsid w:val="00FB19E3"/>
    <w:rsid w:val="00FD2949"/>
    <w:rsid w:val="00FD2D13"/>
    <w:rsid w:val="00FD70C9"/>
    <w:rsid w:val="00FF3665"/>
    <w:rsid w:val="00FF399A"/>
    <w:rsid w:val="00FF5791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FFCF33"/>
  <w15:docId w15:val="{629192CC-4F8F-4997-AC32-2A03734E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E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8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CFE"/>
  </w:style>
  <w:style w:type="paragraph" w:styleId="Pieddepage">
    <w:name w:val="footer"/>
    <w:basedOn w:val="Normal"/>
    <w:link w:val="PieddepageCar"/>
    <w:uiPriority w:val="99"/>
    <w:unhideWhenUsed/>
    <w:rsid w:val="00C0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CFE"/>
  </w:style>
  <w:style w:type="paragraph" w:customStyle="1" w:styleId="Default">
    <w:name w:val="Default"/>
    <w:rsid w:val="0037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33D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D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D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D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e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3B96-CE5E-47CB-9596-140CFFEC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ENVY</dc:creator>
  <cp:lastModifiedBy>Utilisateur Windows</cp:lastModifiedBy>
  <cp:revision>21</cp:revision>
  <dcterms:created xsi:type="dcterms:W3CDTF">2019-07-14T16:00:00Z</dcterms:created>
  <dcterms:modified xsi:type="dcterms:W3CDTF">2019-11-08T16:32:00Z</dcterms:modified>
</cp:coreProperties>
</file>