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12" w:type="dxa"/>
        <w:tblLook w:val="01E0" w:firstRow="1" w:lastRow="1" w:firstColumn="1" w:lastColumn="1" w:noHBand="0" w:noVBand="0"/>
      </w:tblPr>
      <w:tblGrid>
        <w:gridCol w:w="4210"/>
        <w:gridCol w:w="3070"/>
        <w:gridCol w:w="3070"/>
      </w:tblGrid>
      <w:tr w:rsidR="00A04DDF" w:rsidRPr="00A04DDF" w:rsidTr="009F01C7">
        <w:tc>
          <w:tcPr>
            <w:tcW w:w="4210" w:type="dxa"/>
          </w:tcPr>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Ministère du Développement de l’Economie Numérique et des Postes</w:t>
            </w:r>
          </w:p>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w:t>
            </w:r>
          </w:p>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Semaine nationale de l’Internet</w:t>
            </w:r>
          </w:p>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13</w:t>
            </w:r>
            <w:r w:rsidRPr="00A04DDF">
              <w:rPr>
                <w:rFonts w:ascii="Arial" w:eastAsia="Times New Roman" w:hAnsi="Arial" w:cs="Arial"/>
                <w:b/>
                <w:color w:val="000000"/>
                <w:vertAlign w:val="superscript"/>
                <w:lang w:eastAsia="fr-FR"/>
              </w:rPr>
              <w:t>ème</w:t>
            </w:r>
            <w:r w:rsidRPr="00A04DDF">
              <w:rPr>
                <w:rFonts w:ascii="Arial" w:eastAsia="Times New Roman" w:hAnsi="Arial" w:cs="Arial"/>
                <w:b/>
                <w:color w:val="000000"/>
                <w:lang w:eastAsia="fr-FR"/>
              </w:rPr>
              <w:t xml:space="preserve"> édition</w:t>
            </w:r>
          </w:p>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w:t>
            </w:r>
          </w:p>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Comité National d’Organisation</w:t>
            </w:r>
          </w:p>
        </w:tc>
        <w:tc>
          <w:tcPr>
            <w:tcW w:w="3070" w:type="dxa"/>
          </w:tcPr>
          <w:p w:rsidR="00A04DDF" w:rsidRPr="00A04DDF" w:rsidRDefault="00A04DDF" w:rsidP="00A04DDF">
            <w:pPr>
              <w:spacing w:after="0" w:line="240" w:lineRule="auto"/>
              <w:jc w:val="center"/>
              <w:rPr>
                <w:rFonts w:ascii="Arial" w:eastAsia="Times New Roman" w:hAnsi="Arial" w:cs="Arial"/>
                <w:color w:val="000000"/>
                <w:lang w:eastAsia="fr-FR"/>
              </w:rPr>
            </w:pPr>
            <w:r w:rsidRPr="00A04DDF">
              <w:rPr>
                <w:rFonts w:ascii="Arial" w:eastAsia="Times New Roman" w:hAnsi="Arial" w:cs="Arial"/>
                <w:noProof/>
                <w:color w:val="000000"/>
                <w:lang w:eastAsia="fr-FR"/>
              </w:rPr>
              <w:drawing>
                <wp:inline distT="0" distB="0" distL="0" distR="0" wp14:anchorId="03EB8509" wp14:editId="7D5B538D">
                  <wp:extent cx="809625" cy="914400"/>
                  <wp:effectExtent l="19050" t="0" r="9525" b="0"/>
                  <wp:docPr id="1" name="entete_sni2_r1_c1" descr="entete_sni2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sni2_r1_c1" descr="entete_sni2_r1_c1"/>
                          <pic:cNvPicPr>
                            <a:picLocks noChangeAspect="1" noChangeArrowheads="1"/>
                          </pic:cNvPicPr>
                        </pic:nvPicPr>
                        <pic:blipFill>
                          <a:blip r:embed="rId5"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tc>
        <w:tc>
          <w:tcPr>
            <w:tcW w:w="3070" w:type="dxa"/>
          </w:tcPr>
          <w:p w:rsidR="00A04DDF" w:rsidRPr="00A04DDF" w:rsidRDefault="00A04DDF" w:rsidP="00A04DDF">
            <w:pPr>
              <w:spacing w:after="0" w:line="240" w:lineRule="auto"/>
              <w:jc w:val="center"/>
              <w:rPr>
                <w:rFonts w:ascii="Arial" w:eastAsia="Times New Roman" w:hAnsi="Arial" w:cs="Arial"/>
                <w:b/>
                <w:color w:val="000000"/>
                <w:lang w:eastAsia="fr-FR"/>
              </w:rPr>
            </w:pPr>
            <w:r w:rsidRPr="00A04DDF">
              <w:rPr>
                <w:rFonts w:ascii="Arial" w:eastAsia="Times New Roman" w:hAnsi="Arial" w:cs="Arial"/>
                <w:b/>
                <w:color w:val="000000"/>
                <w:lang w:eastAsia="fr-FR"/>
              </w:rPr>
              <w:t>Burkina Faso</w:t>
            </w:r>
          </w:p>
          <w:p w:rsidR="00A04DDF" w:rsidRPr="00A04DDF" w:rsidRDefault="00A04DDF" w:rsidP="00A04DDF">
            <w:pPr>
              <w:spacing w:after="0" w:line="240" w:lineRule="auto"/>
              <w:jc w:val="center"/>
              <w:rPr>
                <w:rFonts w:ascii="Arial" w:eastAsia="Times New Roman" w:hAnsi="Arial" w:cs="Arial"/>
                <w:color w:val="000000"/>
                <w:lang w:eastAsia="fr-FR"/>
              </w:rPr>
            </w:pPr>
            <w:r w:rsidRPr="00A04DDF">
              <w:rPr>
                <w:rFonts w:ascii="Arial" w:eastAsia="Times New Roman" w:hAnsi="Arial" w:cs="Arial"/>
                <w:b/>
                <w:color w:val="000000"/>
                <w:lang w:eastAsia="fr-FR"/>
              </w:rPr>
              <w:t>Unité – Progrès - Justice</w:t>
            </w:r>
          </w:p>
        </w:tc>
      </w:tr>
    </w:tbl>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Arial Black" w:eastAsia="Times New Roman" w:hAnsi="Arial Black" w:cs="Tahoma"/>
          <w:b/>
          <w:bCs/>
          <w:sz w:val="52"/>
          <w:szCs w:val="52"/>
          <w:lang w:eastAsia="fr-FR"/>
        </w:rPr>
      </w:pPr>
      <w:r w:rsidRPr="00A04DDF">
        <w:rPr>
          <w:rFonts w:ascii="Arial Black" w:eastAsia="Times New Roman" w:hAnsi="Arial Black" w:cs="Tahoma"/>
          <w:b/>
          <w:bCs/>
          <w:sz w:val="52"/>
          <w:szCs w:val="52"/>
          <w:lang w:eastAsia="fr-FR"/>
        </w:rPr>
        <w:t xml:space="preserve">Concours </w:t>
      </w:r>
    </w:p>
    <w:p w:rsidR="00A04DDF" w:rsidRPr="00A04DDF" w:rsidRDefault="00A04DDF" w:rsidP="00A04DDF">
      <w:pPr>
        <w:spacing w:after="0" w:line="240" w:lineRule="auto"/>
        <w:jc w:val="center"/>
        <w:rPr>
          <w:rFonts w:ascii="Arial Black" w:eastAsia="Times New Roman" w:hAnsi="Arial Black" w:cs="Tahoma"/>
          <w:b/>
          <w:bCs/>
          <w:sz w:val="52"/>
          <w:szCs w:val="52"/>
          <w:lang w:eastAsia="fr-FR"/>
        </w:rPr>
      </w:pPr>
      <w:proofErr w:type="gramStart"/>
      <w:r w:rsidRPr="00A04DDF">
        <w:rPr>
          <w:rFonts w:ascii="Arial Black" w:eastAsia="Times New Roman" w:hAnsi="Arial Black" w:cs="Tahoma"/>
          <w:b/>
          <w:bCs/>
          <w:sz w:val="52"/>
          <w:szCs w:val="52"/>
          <w:lang w:eastAsia="fr-FR"/>
        </w:rPr>
        <w:t>du</w:t>
      </w:r>
      <w:proofErr w:type="gramEnd"/>
      <w:r w:rsidRPr="00A04DDF">
        <w:rPr>
          <w:rFonts w:ascii="Arial Black" w:eastAsia="Times New Roman" w:hAnsi="Arial Black" w:cs="Tahoma"/>
          <w:b/>
          <w:bCs/>
          <w:sz w:val="52"/>
          <w:szCs w:val="52"/>
          <w:lang w:eastAsia="fr-FR"/>
        </w:rPr>
        <w:t xml:space="preserve"> </w:t>
      </w:r>
      <w:r>
        <w:rPr>
          <w:rFonts w:ascii="Arial Black" w:eastAsia="Times New Roman" w:hAnsi="Arial Black" w:cs="Tahoma"/>
          <w:b/>
          <w:bCs/>
          <w:sz w:val="52"/>
          <w:szCs w:val="52"/>
          <w:lang w:eastAsia="fr-FR"/>
        </w:rPr>
        <w:t>Meilleur Stand</w:t>
      </w: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Times New Roman" w:eastAsia="Times New Roman" w:hAnsi="Times New Roman" w:cs="Times New Roman"/>
          <w:b/>
          <w:bCs/>
          <w:sz w:val="32"/>
          <w:szCs w:val="32"/>
          <w:lang w:eastAsia="fr-FR"/>
        </w:rPr>
      </w:pPr>
    </w:p>
    <w:p w:rsidR="00A04DDF" w:rsidRPr="00A04DDF" w:rsidRDefault="00A04DDF" w:rsidP="00A04DDF">
      <w:pPr>
        <w:spacing w:after="0" w:line="240" w:lineRule="auto"/>
        <w:jc w:val="center"/>
        <w:rPr>
          <w:rFonts w:ascii="Arial Black" w:eastAsia="Times New Roman" w:hAnsi="Arial Black" w:cs="Times New Roman"/>
          <w:b/>
          <w:bCs/>
          <w:sz w:val="32"/>
          <w:szCs w:val="32"/>
          <w:lang w:eastAsia="fr-FR"/>
        </w:rPr>
      </w:pPr>
      <w:r w:rsidRPr="00A04DDF">
        <w:rPr>
          <w:rFonts w:ascii="Arial Black" w:eastAsia="Times New Roman" w:hAnsi="Arial Black" w:cs="Times New Roman"/>
          <w:b/>
          <w:bCs/>
          <w:sz w:val="36"/>
          <w:szCs w:val="36"/>
          <w:lang w:eastAsia="fr-FR"/>
        </w:rPr>
        <w:t xml:space="preserve">Appel à candidatures </w:t>
      </w:r>
    </w:p>
    <w:p w:rsidR="00A04DDF" w:rsidRPr="00A04DDF" w:rsidRDefault="00A04DDF" w:rsidP="00A04DDF">
      <w:pPr>
        <w:spacing w:after="0" w:line="240" w:lineRule="auto"/>
        <w:jc w:val="both"/>
        <w:rPr>
          <w:rFonts w:ascii="Times New Roman" w:eastAsia="Times New Roman" w:hAnsi="Times New Roman" w:cs="Times New Roman"/>
          <w:sz w:val="24"/>
          <w:szCs w:val="24"/>
          <w:lang w:eastAsia="fr-FR"/>
        </w:rPr>
      </w:pPr>
    </w:p>
    <w:p w:rsidR="00A04DDF" w:rsidRPr="00A04DDF" w:rsidRDefault="00A04DDF" w:rsidP="00A04DDF">
      <w:pPr>
        <w:contextualSpacing/>
        <w:jc w:val="center"/>
        <w:rPr>
          <w:rFonts w:ascii="Tahoma" w:eastAsia="Calibri" w:hAnsi="Tahoma" w:cs="Tahoma"/>
          <w:b/>
          <w:sz w:val="26"/>
          <w:szCs w:val="26"/>
        </w:rPr>
      </w:pPr>
      <w:r w:rsidRPr="00A04DDF">
        <w:rPr>
          <w:rFonts w:ascii="Times New Roman" w:eastAsia="Times New Roman" w:hAnsi="Times New Roman" w:cs="Times New Roman"/>
          <w:sz w:val="24"/>
          <w:szCs w:val="24"/>
          <w:lang w:eastAsia="fr-FR"/>
        </w:rPr>
        <w:br w:type="page"/>
      </w:r>
      <w:r w:rsidRPr="00A04DDF">
        <w:rPr>
          <w:rFonts w:ascii="Tahoma" w:eastAsia="Calibri" w:hAnsi="Tahoma" w:cs="Tahoma"/>
          <w:b/>
          <w:sz w:val="26"/>
          <w:szCs w:val="26"/>
        </w:rPr>
        <w:lastRenderedPageBreak/>
        <w:t>Règlement et procédures</w:t>
      </w:r>
    </w:p>
    <w:p w:rsidR="00A04DDF" w:rsidRPr="00A04DDF" w:rsidRDefault="00A04DDF" w:rsidP="00A04DDF">
      <w:pPr>
        <w:ind w:left="720"/>
        <w:contextualSpacing/>
        <w:jc w:val="center"/>
        <w:rPr>
          <w:rFonts w:ascii="Tahoma" w:eastAsia="Calibri" w:hAnsi="Tahoma" w:cs="Tahoma"/>
          <w:sz w:val="26"/>
          <w:szCs w:val="26"/>
        </w:rPr>
      </w:pPr>
    </w:p>
    <w:p w:rsidR="00A04DDF" w:rsidRPr="00A04DDF" w:rsidRDefault="00A04DDF" w:rsidP="00A04DDF">
      <w:pPr>
        <w:ind w:left="720"/>
        <w:contextualSpacing/>
        <w:jc w:val="both"/>
        <w:rPr>
          <w:rFonts w:ascii="Tahoma" w:eastAsia="Calibri" w:hAnsi="Tahoma" w:cs="Tahoma"/>
          <w:b/>
          <w:sz w:val="26"/>
          <w:szCs w:val="26"/>
          <w:u w:val="single"/>
        </w:rPr>
      </w:pPr>
      <w:r w:rsidRPr="00A04DDF">
        <w:rPr>
          <w:rFonts w:ascii="Tahoma" w:eastAsia="Calibri" w:hAnsi="Tahoma" w:cs="Tahoma"/>
          <w:b/>
          <w:sz w:val="26"/>
          <w:szCs w:val="26"/>
          <w:u w:val="single"/>
        </w:rPr>
        <w:t>Article 1 : Généralité</w:t>
      </w:r>
    </w:p>
    <w:p w:rsidR="00A04DDF" w:rsidRPr="00A04DDF" w:rsidRDefault="00A04DDF" w:rsidP="00A04DDF">
      <w:pPr>
        <w:ind w:left="720"/>
        <w:contextualSpacing/>
        <w:jc w:val="both"/>
        <w:rPr>
          <w:rFonts w:ascii="Tahoma" w:eastAsia="Calibri" w:hAnsi="Tahoma" w:cs="Tahoma"/>
          <w:b/>
          <w:sz w:val="26"/>
          <w:szCs w:val="26"/>
        </w:rPr>
      </w:pPr>
    </w:p>
    <w:p w:rsidR="00A04DDF" w:rsidRPr="00A04DDF" w:rsidRDefault="00A04DDF" w:rsidP="00A04DDF">
      <w:pPr>
        <w:ind w:left="720"/>
        <w:contextualSpacing/>
        <w:jc w:val="both"/>
        <w:rPr>
          <w:rFonts w:ascii="Tahoma" w:eastAsia="Calibri" w:hAnsi="Tahoma" w:cs="Tahoma"/>
          <w:sz w:val="26"/>
          <w:szCs w:val="26"/>
        </w:rPr>
      </w:pPr>
      <w:r w:rsidRPr="00A04DDF">
        <w:rPr>
          <w:rFonts w:ascii="Tahoma" w:eastAsia="Calibri" w:hAnsi="Tahoma" w:cs="Tahoma"/>
          <w:sz w:val="26"/>
          <w:szCs w:val="26"/>
        </w:rPr>
        <w:t>Le ministère du Développement de l’Economie Numérique et des Postes organise chaque année la Semaine Nationale de l’Internet (SNI). Au cours de cette manifestation, il se tient un salon d’exposition sur les nouvelles technologies. Au regard de la réussite croissante de l’évènement, le Comité national d’Organisation (CNO) a décidé d’instituer à partir de la 5</w:t>
      </w:r>
      <w:r w:rsidRPr="00A04DDF">
        <w:rPr>
          <w:rFonts w:ascii="Tahoma" w:eastAsia="Calibri" w:hAnsi="Tahoma" w:cs="Tahoma"/>
          <w:sz w:val="26"/>
          <w:szCs w:val="26"/>
          <w:vertAlign w:val="superscript"/>
        </w:rPr>
        <w:t>ème</w:t>
      </w:r>
      <w:r w:rsidRPr="00A04DDF">
        <w:rPr>
          <w:rFonts w:ascii="Tahoma" w:eastAsia="Calibri" w:hAnsi="Tahoma" w:cs="Tahoma"/>
          <w:sz w:val="26"/>
          <w:szCs w:val="26"/>
        </w:rPr>
        <w:t xml:space="preserve"> édition, un concours pour récompenser les meilleurs exposants. Ceci pour répondre à la demande régulière des participants et aussi pour susciter plus de qualité et d’originalité pendant le salon.</w:t>
      </w:r>
    </w:p>
    <w:p w:rsidR="00A04DDF" w:rsidRPr="00A04DDF" w:rsidRDefault="00A04DDF" w:rsidP="00A04DDF">
      <w:pPr>
        <w:ind w:left="720"/>
        <w:contextualSpacing/>
        <w:jc w:val="both"/>
        <w:rPr>
          <w:rFonts w:ascii="Tahoma" w:eastAsia="Calibri" w:hAnsi="Tahoma" w:cs="Tahoma"/>
          <w:sz w:val="26"/>
          <w:szCs w:val="26"/>
        </w:rPr>
      </w:pPr>
    </w:p>
    <w:p w:rsidR="00A04DDF" w:rsidRPr="00A04DDF" w:rsidRDefault="00A04DDF" w:rsidP="00A04DDF">
      <w:pPr>
        <w:ind w:left="720"/>
        <w:contextualSpacing/>
        <w:jc w:val="both"/>
        <w:rPr>
          <w:rFonts w:ascii="Tahoma" w:eastAsia="Calibri" w:hAnsi="Tahoma" w:cs="Tahoma"/>
          <w:b/>
          <w:sz w:val="26"/>
          <w:szCs w:val="26"/>
          <w:u w:val="single"/>
        </w:rPr>
      </w:pPr>
      <w:r w:rsidRPr="00A04DDF">
        <w:rPr>
          <w:rFonts w:ascii="Tahoma" w:eastAsia="Calibri" w:hAnsi="Tahoma" w:cs="Tahoma"/>
          <w:b/>
          <w:sz w:val="26"/>
          <w:szCs w:val="26"/>
          <w:u w:val="single"/>
        </w:rPr>
        <w:t>Article 2 : participation</w:t>
      </w:r>
    </w:p>
    <w:p w:rsidR="00A04DDF" w:rsidRPr="00A04DDF" w:rsidRDefault="00A04DDF" w:rsidP="00A04DDF">
      <w:pPr>
        <w:ind w:left="720"/>
        <w:contextualSpacing/>
        <w:jc w:val="both"/>
        <w:rPr>
          <w:rFonts w:ascii="Tahoma" w:eastAsia="Calibri" w:hAnsi="Tahoma" w:cs="Tahoma"/>
          <w:sz w:val="26"/>
          <w:szCs w:val="26"/>
        </w:rPr>
      </w:pPr>
      <w:r w:rsidRPr="00A04DDF">
        <w:rPr>
          <w:rFonts w:ascii="Tahoma" w:eastAsia="Calibri" w:hAnsi="Tahoma" w:cs="Tahoma"/>
          <w:sz w:val="26"/>
          <w:szCs w:val="26"/>
        </w:rPr>
        <w:t>Tout participant du SITICO est tacitement inscrit au concours à moins que celui-ci notifie sa non-participation au CNO.</w:t>
      </w:r>
    </w:p>
    <w:p w:rsidR="00A04DDF" w:rsidRPr="00A04DDF" w:rsidRDefault="00A04DDF" w:rsidP="00A04DDF">
      <w:pPr>
        <w:ind w:left="720"/>
        <w:contextualSpacing/>
        <w:jc w:val="both"/>
        <w:rPr>
          <w:rFonts w:ascii="Tahoma" w:eastAsia="Calibri" w:hAnsi="Tahoma" w:cs="Tahoma"/>
          <w:sz w:val="26"/>
          <w:szCs w:val="26"/>
        </w:rPr>
      </w:pPr>
    </w:p>
    <w:p w:rsidR="00A04DDF" w:rsidRPr="00A04DDF" w:rsidRDefault="00A04DDF" w:rsidP="00A04DDF">
      <w:pPr>
        <w:ind w:left="720"/>
        <w:contextualSpacing/>
        <w:jc w:val="both"/>
        <w:rPr>
          <w:rFonts w:ascii="Tahoma" w:eastAsia="Calibri" w:hAnsi="Tahoma" w:cs="Tahoma"/>
          <w:b/>
          <w:sz w:val="26"/>
          <w:szCs w:val="26"/>
          <w:u w:val="single"/>
        </w:rPr>
      </w:pPr>
      <w:r w:rsidRPr="00A04DDF">
        <w:rPr>
          <w:rFonts w:ascii="Tahoma" w:eastAsia="Calibri" w:hAnsi="Tahoma" w:cs="Tahoma"/>
          <w:b/>
          <w:sz w:val="26"/>
          <w:szCs w:val="26"/>
          <w:u w:val="single"/>
        </w:rPr>
        <w:t>Article 3 : catégories</w:t>
      </w:r>
    </w:p>
    <w:p w:rsidR="00A04DDF" w:rsidRPr="00A04DDF" w:rsidRDefault="00A04DDF" w:rsidP="00A04DDF">
      <w:pPr>
        <w:ind w:left="720"/>
        <w:contextualSpacing/>
        <w:jc w:val="both"/>
        <w:rPr>
          <w:rFonts w:ascii="Tahoma" w:eastAsia="Calibri" w:hAnsi="Tahoma" w:cs="Tahoma"/>
          <w:sz w:val="26"/>
          <w:szCs w:val="26"/>
        </w:rPr>
      </w:pPr>
    </w:p>
    <w:p w:rsidR="00A04DDF" w:rsidRPr="00A04DDF" w:rsidRDefault="00A04DDF" w:rsidP="00A04DDF">
      <w:pPr>
        <w:ind w:left="720"/>
        <w:contextualSpacing/>
        <w:jc w:val="both"/>
        <w:rPr>
          <w:rFonts w:ascii="Tahoma" w:eastAsia="Calibri" w:hAnsi="Tahoma" w:cs="Tahoma"/>
          <w:sz w:val="26"/>
          <w:szCs w:val="26"/>
        </w:rPr>
      </w:pPr>
      <w:r w:rsidRPr="00A04DDF">
        <w:rPr>
          <w:rFonts w:ascii="Tahoma" w:eastAsia="Calibri" w:hAnsi="Tahoma" w:cs="Tahoma"/>
          <w:sz w:val="26"/>
          <w:szCs w:val="26"/>
        </w:rPr>
        <w:t>Il y a trois (3) catégories de stands pour le concours qui sont :</w:t>
      </w:r>
    </w:p>
    <w:p w:rsidR="00A04DDF" w:rsidRPr="00A04DDF" w:rsidRDefault="00A04DDF" w:rsidP="00A04DDF">
      <w:pPr>
        <w:numPr>
          <w:ilvl w:val="0"/>
          <w:numId w:val="1"/>
        </w:numPr>
        <w:spacing w:before="120" w:after="120" w:line="240" w:lineRule="auto"/>
        <w:contextualSpacing/>
        <w:jc w:val="both"/>
        <w:rPr>
          <w:rFonts w:ascii="Tahoma" w:eastAsia="Calibri" w:hAnsi="Tahoma" w:cs="Tahoma"/>
          <w:sz w:val="26"/>
          <w:szCs w:val="26"/>
        </w:rPr>
      </w:pPr>
      <w:r w:rsidRPr="00A04DDF">
        <w:rPr>
          <w:rFonts w:ascii="Tahoma" w:eastAsia="Calibri" w:hAnsi="Tahoma" w:cs="Tahoma"/>
          <w:sz w:val="26"/>
          <w:szCs w:val="26"/>
        </w:rPr>
        <w:t>Meilleurs exposant de l’administration publique</w:t>
      </w:r>
    </w:p>
    <w:p w:rsidR="00A04DDF" w:rsidRPr="00A04DDF" w:rsidRDefault="00A04DDF" w:rsidP="00A04DDF">
      <w:pPr>
        <w:numPr>
          <w:ilvl w:val="0"/>
          <w:numId w:val="1"/>
        </w:numPr>
        <w:spacing w:before="120" w:after="120" w:line="240" w:lineRule="auto"/>
        <w:contextualSpacing/>
        <w:jc w:val="both"/>
        <w:rPr>
          <w:rFonts w:ascii="Tahoma" w:eastAsia="Calibri" w:hAnsi="Tahoma" w:cs="Tahoma"/>
          <w:sz w:val="26"/>
          <w:szCs w:val="26"/>
        </w:rPr>
      </w:pPr>
      <w:r w:rsidRPr="00A04DDF">
        <w:rPr>
          <w:rFonts w:ascii="Tahoma" w:eastAsia="Calibri" w:hAnsi="Tahoma" w:cs="Tahoma"/>
          <w:sz w:val="26"/>
          <w:szCs w:val="26"/>
        </w:rPr>
        <w:t>Meilleur exposant Société civile</w:t>
      </w:r>
    </w:p>
    <w:p w:rsidR="00A04DDF" w:rsidRPr="00A04DDF" w:rsidRDefault="00A04DDF" w:rsidP="00A04DDF">
      <w:pPr>
        <w:numPr>
          <w:ilvl w:val="0"/>
          <w:numId w:val="1"/>
        </w:numPr>
        <w:spacing w:before="120" w:after="120" w:line="240" w:lineRule="auto"/>
        <w:contextualSpacing/>
        <w:jc w:val="both"/>
        <w:rPr>
          <w:rFonts w:ascii="Tahoma" w:eastAsia="Calibri" w:hAnsi="Tahoma" w:cs="Tahoma"/>
          <w:sz w:val="26"/>
          <w:szCs w:val="26"/>
        </w:rPr>
      </w:pPr>
      <w:r w:rsidRPr="00A04DDF">
        <w:rPr>
          <w:rFonts w:ascii="Tahoma" w:eastAsia="Calibri" w:hAnsi="Tahoma" w:cs="Tahoma"/>
          <w:sz w:val="26"/>
          <w:szCs w:val="26"/>
        </w:rPr>
        <w:t>Secteur privé</w:t>
      </w:r>
    </w:p>
    <w:p w:rsidR="00A04DDF" w:rsidRPr="00A04DDF" w:rsidRDefault="00A04DDF" w:rsidP="00A04DDF">
      <w:pPr>
        <w:ind w:left="1440"/>
        <w:contextualSpacing/>
        <w:jc w:val="both"/>
        <w:rPr>
          <w:rFonts w:ascii="Tahoma" w:eastAsia="Calibri" w:hAnsi="Tahoma" w:cs="Tahoma"/>
          <w:sz w:val="26"/>
          <w:szCs w:val="26"/>
        </w:rPr>
      </w:pPr>
    </w:p>
    <w:p w:rsidR="00A04DDF" w:rsidRPr="00A04DDF" w:rsidRDefault="00A04DDF" w:rsidP="00A04DDF">
      <w:pPr>
        <w:jc w:val="both"/>
        <w:rPr>
          <w:rFonts w:ascii="Tahoma" w:eastAsia="Calibri" w:hAnsi="Tahoma" w:cs="Tahoma"/>
          <w:b/>
          <w:sz w:val="26"/>
          <w:szCs w:val="26"/>
          <w:u w:val="single"/>
        </w:rPr>
      </w:pPr>
      <w:r w:rsidRPr="00A04DDF">
        <w:rPr>
          <w:rFonts w:ascii="Tahoma" w:eastAsia="Calibri" w:hAnsi="Tahoma" w:cs="Tahoma"/>
          <w:b/>
          <w:sz w:val="26"/>
          <w:szCs w:val="26"/>
          <w:u w:val="single"/>
        </w:rPr>
        <w:t>Article 4 : le jury</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b/>
          <w:sz w:val="26"/>
          <w:szCs w:val="26"/>
        </w:rPr>
        <w:t xml:space="preserve">Un </w:t>
      </w:r>
      <w:r w:rsidRPr="00A04DDF">
        <w:rPr>
          <w:rFonts w:ascii="Tahoma" w:eastAsia="Calibri" w:hAnsi="Tahoma" w:cs="Tahoma"/>
          <w:sz w:val="26"/>
          <w:szCs w:val="26"/>
        </w:rPr>
        <w:t>jury constitué de cinq (5) membres procèdera à l’évaluation et à la notation des stands durant l’exposition.</w:t>
      </w:r>
    </w:p>
    <w:p w:rsidR="00A04DDF" w:rsidRPr="00A04DDF" w:rsidRDefault="00A04DDF" w:rsidP="00A04DDF">
      <w:pPr>
        <w:jc w:val="both"/>
        <w:rPr>
          <w:rFonts w:ascii="Tahoma" w:eastAsia="Calibri" w:hAnsi="Tahoma" w:cs="Tahoma"/>
          <w:b/>
          <w:sz w:val="26"/>
          <w:szCs w:val="26"/>
          <w:u w:val="single"/>
        </w:rPr>
      </w:pPr>
      <w:r w:rsidRPr="00A04DDF">
        <w:rPr>
          <w:rFonts w:ascii="Tahoma" w:eastAsia="Calibri" w:hAnsi="Tahoma" w:cs="Tahoma"/>
          <w:b/>
          <w:sz w:val="26"/>
          <w:szCs w:val="26"/>
        </w:rPr>
        <w:t xml:space="preserve">        </w:t>
      </w:r>
      <w:r w:rsidRPr="00A04DDF">
        <w:rPr>
          <w:rFonts w:ascii="Tahoma" w:eastAsia="Calibri" w:hAnsi="Tahoma" w:cs="Tahoma"/>
          <w:b/>
          <w:sz w:val="26"/>
          <w:szCs w:val="26"/>
          <w:u w:val="single"/>
        </w:rPr>
        <w:t>Article 5 : les critères d’appréciation</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Le jury appréciera les stands selon les critères suivants :</w:t>
      </w:r>
    </w:p>
    <w:p w:rsidR="00A04DDF" w:rsidRPr="00A04DDF" w:rsidRDefault="00A04DDF" w:rsidP="00A04DDF">
      <w:pPr>
        <w:tabs>
          <w:tab w:val="left" w:pos="567"/>
          <w:tab w:val="left" w:pos="851"/>
        </w:tabs>
        <w:jc w:val="both"/>
        <w:rPr>
          <w:rFonts w:ascii="Tahoma" w:eastAsia="Calibri" w:hAnsi="Tahoma" w:cs="Tahoma"/>
          <w:sz w:val="26"/>
          <w:szCs w:val="26"/>
        </w:rPr>
      </w:pPr>
      <w:r w:rsidRPr="00A04DDF">
        <w:rPr>
          <w:rFonts w:ascii="Tahoma" w:eastAsia="Calibri" w:hAnsi="Tahoma" w:cs="Tahoma"/>
          <w:sz w:val="26"/>
          <w:szCs w:val="26"/>
        </w:rPr>
        <w:t>1.        la qualité et l’originalité du produit technologique exposé ;</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2.        la décoration et présentation du stand ;</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3.        la qualit</w:t>
      </w:r>
      <w:bookmarkStart w:id="0" w:name="_GoBack"/>
      <w:bookmarkEnd w:id="0"/>
      <w:r w:rsidRPr="00A04DDF">
        <w:rPr>
          <w:rFonts w:ascii="Tahoma" w:eastAsia="Calibri" w:hAnsi="Tahoma" w:cs="Tahoma"/>
          <w:sz w:val="26"/>
          <w:szCs w:val="26"/>
        </w:rPr>
        <w:t>é de l’accueil des visiteurs ;</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4.        les initiatives prises pour l’animation du stand.</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En cas d’égalité de points, le jury se réserve le droit d’apprécier les exposants selon :</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5.         leur régularité au SITICO</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lastRenderedPageBreak/>
        <w:t>6.         la catégorie de stand occupé.</w:t>
      </w:r>
    </w:p>
    <w:p w:rsidR="00A04DDF" w:rsidRPr="00A04DDF" w:rsidRDefault="00A04DDF" w:rsidP="00A04DDF">
      <w:pPr>
        <w:jc w:val="both"/>
        <w:rPr>
          <w:rFonts w:ascii="Tahoma" w:eastAsia="Calibri" w:hAnsi="Tahoma" w:cs="Tahoma"/>
          <w:b/>
          <w:sz w:val="26"/>
          <w:szCs w:val="26"/>
        </w:rPr>
      </w:pPr>
      <w:r w:rsidRPr="00A04DDF">
        <w:rPr>
          <w:rFonts w:ascii="Tahoma" w:eastAsia="Calibri" w:hAnsi="Tahoma" w:cs="Tahoma"/>
          <w:b/>
          <w:sz w:val="26"/>
          <w:szCs w:val="26"/>
        </w:rPr>
        <w:t>Article 6 : Récompense</w:t>
      </w:r>
    </w:p>
    <w:p w:rsidR="00A04DDF" w:rsidRPr="00A04DDF" w:rsidRDefault="00A04DDF" w:rsidP="00A04DDF">
      <w:pPr>
        <w:jc w:val="both"/>
        <w:rPr>
          <w:rFonts w:ascii="Tahoma" w:eastAsia="Calibri" w:hAnsi="Tahoma" w:cs="Tahoma"/>
          <w:sz w:val="26"/>
          <w:szCs w:val="26"/>
        </w:rPr>
      </w:pPr>
      <w:r w:rsidRPr="00A04DDF">
        <w:rPr>
          <w:rFonts w:ascii="Tahoma" w:eastAsia="Calibri" w:hAnsi="Tahoma" w:cs="Tahoma"/>
          <w:sz w:val="26"/>
          <w:szCs w:val="26"/>
        </w:rPr>
        <w:t>Pour chaque année, le meilleur exposant reçoit lors de la nuit des TIC un prix composé de :</w:t>
      </w:r>
    </w:p>
    <w:p w:rsidR="00A04DDF" w:rsidRPr="00A04DDF" w:rsidRDefault="00A04DDF" w:rsidP="00A04DDF">
      <w:pPr>
        <w:numPr>
          <w:ilvl w:val="0"/>
          <w:numId w:val="2"/>
        </w:numPr>
        <w:spacing w:before="120" w:after="0" w:line="240" w:lineRule="auto"/>
        <w:contextualSpacing/>
        <w:jc w:val="both"/>
        <w:rPr>
          <w:rFonts w:ascii="Tahoma" w:eastAsia="Calibri" w:hAnsi="Tahoma" w:cs="Tahoma"/>
          <w:sz w:val="26"/>
          <w:szCs w:val="26"/>
        </w:rPr>
      </w:pPr>
      <w:r w:rsidRPr="00A04DDF">
        <w:rPr>
          <w:rFonts w:ascii="Tahoma" w:eastAsia="Calibri" w:hAnsi="Tahoma" w:cs="Tahoma"/>
          <w:sz w:val="26"/>
          <w:szCs w:val="26"/>
        </w:rPr>
        <w:t xml:space="preserve">Un </w:t>
      </w:r>
      <w:proofErr w:type="spellStart"/>
      <w:r w:rsidRPr="00A04DDF">
        <w:rPr>
          <w:rFonts w:ascii="Tahoma" w:eastAsia="Calibri" w:hAnsi="Tahoma" w:cs="Tahoma"/>
          <w:sz w:val="26"/>
          <w:szCs w:val="26"/>
        </w:rPr>
        <w:t>Gambré</w:t>
      </w:r>
      <w:proofErr w:type="spellEnd"/>
      <w:r w:rsidRPr="00A04DDF">
        <w:rPr>
          <w:rFonts w:ascii="Tahoma" w:eastAsia="Calibri" w:hAnsi="Tahoma" w:cs="Tahoma"/>
          <w:sz w:val="26"/>
          <w:szCs w:val="26"/>
        </w:rPr>
        <w:t xml:space="preserve"> d’Or</w:t>
      </w:r>
    </w:p>
    <w:p w:rsidR="00A04DDF" w:rsidRPr="00A04DDF" w:rsidRDefault="00A04DDF" w:rsidP="00A04DDF">
      <w:pPr>
        <w:numPr>
          <w:ilvl w:val="0"/>
          <w:numId w:val="2"/>
        </w:numPr>
        <w:spacing w:before="120" w:after="120" w:line="240" w:lineRule="auto"/>
        <w:contextualSpacing/>
        <w:jc w:val="both"/>
        <w:rPr>
          <w:rFonts w:ascii="Tahoma" w:eastAsia="Calibri" w:hAnsi="Tahoma" w:cs="Tahoma"/>
          <w:sz w:val="26"/>
          <w:szCs w:val="26"/>
        </w:rPr>
      </w:pPr>
      <w:r w:rsidRPr="00A04DDF">
        <w:rPr>
          <w:rFonts w:ascii="Tahoma" w:eastAsia="Calibri" w:hAnsi="Tahoma" w:cs="Tahoma"/>
          <w:sz w:val="26"/>
          <w:szCs w:val="26"/>
        </w:rPr>
        <w:t>Une attestation</w:t>
      </w:r>
    </w:p>
    <w:p w:rsidR="00A04DDF" w:rsidRPr="00A04DDF" w:rsidRDefault="00A04DDF" w:rsidP="00A04DDF">
      <w:pPr>
        <w:numPr>
          <w:ilvl w:val="0"/>
          <w:numId w:val="2"/>
        </w:numPr>
        <w:spacing w:before="120" w:after="120" w:line="240" w:lineRule="auto"/>
        <w:contextualSpacing/>
        <w:jc w:val="both"/>
        <w:rPr>
          <w:rFonts w:ascii="Tahoma" w:eastAsia="Calibri" w:hAnsi="Tahoma" w:cs="Tahoma"/>
          <w:sz w:val="26"/>
          <w:szCs w:val="26"/>
        </w:rPr>
      </w:pPr>
      <w:r w:rsidRPr="00A04DDF">
        <w:rPr>
          <w:rFonts w:ascii="Tahoma" w:eastAsia="Calibri" w:hAnsi="Tahoma" w:cs="Tahoma"/>
          <w:sz w:val="26"/>
          <w:szCs w:val="26"/>
        </w:rPr>
        <w:t xml:space="preserve">Une remise de 50% pour le stand de catégorie </w:t>
      </w:r>
      <w:proofErr w:type="spellStart"/>
      <w:r w:rsidRPr="00A04DDF">
        <w:rPr>
          <w:rFonts w:ascii="Tahoma" w:eastAsia="Calibri" w:hAnsi="Tahoma" w:cs="Tahoma"/>
          <w:sz w:val="26"/>
          <w:szCs w:val="26"/>
        </w:rPr>
        <w:t>Silver</w:t>
      </w:r>
      <w:proofErr w:type="spellEnd"/>
      <w:r w:rsidRPr="00A04DDF">
        <w:rPr>
          <w:rFonts w:ascii="Tahoma" w:eastAsia="Calibri" w:hAnsi="Tahoma" w:cs="Tahoma"/>
          <w:sz w:val="26"/>
          <w:szCs w:val="26"/>
        </w:rPr>
        <w:t xml:space="preserve"> à l’édition suivante du SITICO</w:t>
      </w:r>
    </w:p>
    <w:p w:rsidR="00A04DDF" w:rsidRPr="00A04DDF" w:rsidRDefault="00A04DDF" w:rsidP="00A04DDF">
      <w:pPr>
        <w:spacing w:after="200" w:line="276" w:lineRule="auto"/>
        <w:rPr>
          <w:rFonts w:ascii="Tahoma" w:eastAsia="Constantia" w:hAnsi="Tahoma" w:cs="Tahoma"/>
          <w:color w:val="595959"/>
          <w:sz w:val="26"/>
          <w:szCs w:val="26"/>
          <w:lang w:eastAsia="fr-FR"/>
        </w:rPr>
      </w:pPr>
    </w:p>
    <w:p w:rsidR="00822E44" w:rsidRDefault="00822E44" w:rsidP="00A04DDF"/>
    <w:sectPr w:rsidR="00822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F49"/>
      </v:shape>
    </w:pict>
  </w:numPicBullet>
  <w:abstractNum w:abstractNumId="0">
    <w:nsid w:val="65495CC8"/>
    <w:multiLevelType w:val="hybridMultilevel"/>
    <w:tmpl w:val="3AA8996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75E06B9B"/>
    <w:multiLevelType w:val="hybridMultilevel"/>
    <w:tmpl w:val="8584B2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DF"/>
    <w:rsid w:val="00822E44"/>
    <w:rsid w:val="00A0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F05B-5AEC-4B82-BD8F-D1EAF120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Jean Claude NANEMA</dc:creator>
  <cp:keywords/>
  <dc:description/>
  <cp:lastModifiedBy>W. Jean Claude NANEMA</cp:lastModifiedBy>
  <cp:revision>1</cp:revision>
  <dcterms:created xsi:type="dcterms:W3CDTF">2017-01-09T13:21:00Z</dcterms:created>
  <dcterms:modified xsi:type="dcterms:W3CDTF">2017-01-09T13:24:00Z</dcterms:modified>
</cp:coreProperties>
</file>