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29" w:rsidRPr="00D767FA" w:rsidRDefault="00EB5629" w:rsidP="00F943B9">
      <w:pPr>
        <w:pStyle w:val="Style"/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F943B9" w:rsidRPr="00D767FA" w:rsidRDefault="00F943B9" w:rsidP="00F943B9">
      <w:pPr>
        <w:pStyle w:val="Style"/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EB5629" w:rsidRPr="00D767FA" w:rsidRDefault="00EB5629" w:rsidP="00F943B9">
      <w:pPr>
        <w:pStyle w:val="Style"/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724E0F" w:rsidRPr="00D767FA" w:rsidRDefault="00724E0F" w:rsidP="00B23ED6">
      <w:pPr>
        <w:pStyle w:val="Style"/>
        <w:spacing w:before="120" w:after="120"/>
        <w:ind w:left="4956"/>
        <w:rPr>
          <w:rFonts w:ascii="Times New Roman" w:hAnsi="Times New Roman" w:cs="Times New Roman"/>
          <w:sz w:val="26"/>
          <w:szCs w:val="26"/>
        </w:rPr>
      </w:pPr>
      <w:r w:rsidRPr="00D767FA">
        <w:rPr>
          <w:rFonts w:ascii="Times New Roman" w:hAnsi="Times New Roman" w:cs="Times New Roman"/>
          <w:sz w:val="26"/>
          <w:szCs w:val="26"/>
        </w:rPr>
        <w:t xml:space="preserve">Bobo-Dioulasso, le </w:t>
      </w:r>
      <w:r w:rsidR="00B23ED6">
        <w:rPr>
          <w:rFonts w:ascii="Times New Roman" w:hAnsi="Times New Roman" w:cs="Times New Roman"/>
          <w:sz w:val="26"/>
          <w:szCs w:val="26"/>
        </w:rPr>
        <w:t>23 septembre 2022</w:t>
      </w:r>
    </w:p>
    <w:p w:rsidR="00F943B9" w:rsidRPr="00D767FA" w:rsidRDefault="00F943B9" w:rsidP="00F943B9">
      <w:pPr>
        <w:pStyle w:val="Style"/>
        <w:spacing w:before="120" w:after="120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6C717A" w:rsidRPr="00D767FA" w:rsidRDefault="006C717A" w:rsidP="00F943B9">
      <w:pPr>
        <w:pStyle w:val="Style"/>
        <w:spacing w:before="120" w:after="120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724E0F" w:rsidRPr="00EB5629" w:rsidRDefault="00724E0F" w:rsidP="00EB5629">
      <w:pPr>
        <w:pStyle w:val="Style"/>
        <w:spacing w:before="120" w:after="120"/>
        <w:jc w:val="center"/>
        <w:rPr>
          <w:rFonts w:ascii="Cambria" w:hAnsi="Cambria" w:cs="Times New Roman"/>
          <w:b/>
          <w:w w:val="105"/>
          <w:sz w:val="40"/>
          <w:szCs w:val="40"/>
          <w:u w:val="single"/>
        </w:rPr>
      </w:pPr>
      <w:r w:rsidRPr="00EB5629">
        <w:rPr>
          <w:rFonts w:ascii="Cambria" w:hAnsi="Cambria" w:cs="Times New Roman"/>
          <w:b/>
          <w:w w:val="105"/>
          <w:sz w:val="40"/>
          <w:szCs w:val="40"/>
          <w:u w:val="single"/>
        </w:rPr>
        <w:t>Avis d'appel d'offres N°</w:t>
      </w:r>
      <w:r w:rsidR="00E44D04">
        <w:rPr>
          <w:rFonts w:ascii="Cambria" w:hAnsi="Cambria" w:cs="Times New Roman"/>
          <w:b/>
          <w:w w:val="105"/>
          <w:sz w:val="40"/>
          <w:szCs w:val="40"/>
          <w:u w:val="single"/>
        </w:rPr>
        <w:t xml:space="preserve"> </w:t>
      </w:r>
      <w:r w:rsidR="00B23ED6">
        <w:rPr>
          <w:rFonts w:ascii="Cambria" w:hAnsi="Cambria" w:cs="Times New Roman"/>
          <w:b/>
          <w:w w:val="105"/>
          <w:sz w:val="40"/>
          <w:szCs w:val="40"/>
          <w:u w:val="single"/>
        </w:rPr>
        <w:t>2209001</w:t>
      </w:r>
    </w:p>
    <w:p w:rsidR="00724E0F" w:rsidRPr="00D767FA" w:rsidRDefault="00BD7B1A" w:rsidP="00EB5629">
      <w:pPr>
        <w:pStyle w:val="Style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FA">
        <w:rPr>
          <w:rFonts w:ascii="Times New Roman" w:hAnsi="Times New Roman" w:cs="Times New Roman"/>
          <w:b/>
          <w:sz w:val="28"/>
          <w:szCs w:val="28"/>
        </w:rPr>
        <w:t>(</w:t>
      </w:r>
      <w:r w:rsidR="00EB5629" w:rsidRPr="00D767FA">
        <w:rPr>
          <w:rFonts w:ascii="Times New Roman" w:hAnsi="Times New Roman" w:cs="Times New Roman"/>
          <w:b/>
          <w:sz w:val="28"/>
          <w:szCs w:val="28"/>
        </w:rPr>
        <w:t>P</w:t>
      </w:r>
      <w:r w:rsidR="00724E0F" w:rsidRPr="00D767FA">
        <w:rPr>
          <w:rFonts w:ascii="Times New Roman" w:hAnsi="Times New Roman" w:cs="Times New Roman"/>
          <w:b/>
          <w:sz w:val="28"/>
          <w:szCs w:val="28"/>
        </w:rPr>
        <w:t>our la fourniture de pesticides, de régulateurs de croissance du cotonnier et d'appareils de traitement</w:t>
      </w:r>
      <w:r w:rsidR="00EB5629" w:rsidRPr="00D767F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24E0F" w:rsidRPr="00D767FA">
        <w:rPr>
          <w:rFonts w:ascii="Times New Roman" w:hAnsi="Times New Roman" w:cs="Times New Roman"/>
          <w:b/>
          <w:sz w:val="28"/>
          <w:szCs w:val="28"/>
        </w:rPr>
        <w:t xml:space="preserve">Campagne </w:t>
      </w:r>
      <w:r w:rsidR="00EB5629" w:rsidRPr="00D767FA">
        <w:rPr>
          <w:rFonts w:ascii="Times New Roman" w:hAnsi="Times New Roman" w:cs="Times New Roman"/>
          <w:b/>
          <w:sz w:val="28"/>
          <w:szCs w:val="28"/>
        </w:rPr>
        <w:t xml:space="preserve">agricole </w:t>
      </w:r>
      <w:r w:rsidR="00724E0F" w:rsidRPr="00D767FA">
        <w:rPr>
          <w:rFonts w:ascii="Times New Roman" w:hAnsi="Times New Roman" w:cs="Times New Roman"/>
          <w:b/>
          <w:sz w:val="28"/>
          <w:szCs w:val="28"/>
        </w:rPr>
        <w:t>2023/2024)</w:t>
      </w:r>
    </w:p>
    <w:p w:rsidR="00EB5629" w:rsidRPr="00D767FA" w:rsidRDefault="00EB5629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24E0F" w:rsidRPr="00D767FA" w:rsidRDefault="00724E0F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D767FA">
        <w:rPr>
          <w:rFonts w:ascii="Times New Roman" w:hAnsi="Times New Roman" w:cs="Times New Roman"/>
          <w:sz w:val="26"/>
          <w:szCs w:val="26"/>
        </w:rPr>
        <w:t>Au titre de la campagne agricole 2023/2024, la Société Burkinabè des Fibres Textiles (SOFITEX) lance un appel d</w:t>
      </w:r>
      <w:r w:rsidR="00EB5629" w:rsidRPr="00D767FA">
        <w:rPr>
          <w:rFonts w:ascii="Times New Roman" w:hAnsi="Times New Roman" w:cs="Times New Roman"/>
          <w:sz w:val="26"/>
          <w:szCs w:val="26"/>
        </w:rPr>
        <w:t>'offres pour la fourniture de :</w:t>
      </w:r>
    </w:p>
    <w:p w:rsidR="00F943B9" w:rsidRPr="00D767FA" w:rsidRDefault="00F943B9" w:rsidP="00F943B9">
      <w:pPr>
        <w:pStyle w:val="pucest"/>
        <w:numPr>
          <w:ilvl w:val="0"/>
          <w:numId w:val="1"/>
        </w:numPr>
        <w:tabs>
          <w:tab w:val="clear" w:pos="851"/>
          <w:tab w:val="clear" w:pos="2835"/>
          <w:tab w:val="left" w:pos="426"/>
        </w:tabs>
        <w:spacing w:after="200"/>
        <w:ind w:left="426"/>
        <w:rPr>
          <w:rFonts w:ascii="Times New Roman" w:hAnsi="Times New Roman"/>
          <w:b w:val="0"/>
          <w:sz w:val="26"/>
          <w:szCs w:val="26"/>
        </w:rPr>
      </w:pPr>
      <w:r w:rsidRPr="00D767FA">
        <w:rPr>
          <w:rFonts w:ascii="Times New Roman" w:hAnsi="Times New Roman"/>
          <w:sz w:val="26"/>
          <w:szCs w:val="26"/>
        </w:rPr>
        <w:t>Insecticides coton</w:t>
      </w:r>
      <w:r w:rsidRPr="00D767FA">
        <w:rPr>
          <w:rFonts w:ascii="Times New Roman" w:hAnsi="Times New Roman"/>
          <w:b w:val="0"/>
          <w:sz w:val="26"/>
          <w:szCs w:val="26"/>
        </w:rPr>
        <w:t xml:space="preserve"> </w:t>
      </w:r>
      <w:r w:rsidRPr="00D767FA">
        <w:rPr>
          <w:rFonts w:ascii="Times New Roman" w:hAnsi="Times New Roman"/>
          <w:sz w:val="26"/>
          <w:szCs w:val="26"/>
        </w:rPr>
        <w:t>pour un volume global de deux millions six cent quarante mille (2 640 000) traitements ou doses et répartis comme suit :</w:t>
      </w:r>
    </w:p>
    <w:p w:rsidR="00F943B9" w:rsidRPr="00D767FA" w:rsidRDefault="00F943B9" w:rsidP="00D767FA">
      <w:pPr>
        <w:pStyle w:val="pucest"/>
        <w:numPr>
          <w:ilvl w:val="1"/>
          <w:numId w:val="1"/>
        </w:numPr>
        <w:tabs>
          <w:tab w:val="clear" w:pos="851"/>
          <w:tab w:val="clear" w:pos="2835"/>
          <w:tab w:val="left" w:pos="1134"/>
        </w:tabs>
        <w:spacing w:after="120"/>
        <w:ind w:left="1134" w:hanging="357"/>
        <w:rPr>
          <w:rFonts w:ascii="Times New Roman" w:hAnsi="Times New Roman"/>
          <w:b w:val="0"/>
          <w:sz w:val="26"/>
          <w:szCs w:val="26"/>
        </w:rPr>
      </w:pPr>
      <w:r w:rsidRPr="00D767FA">
        <w:rPr>
          <w:rFonts w:ascii="Times New Roman" w:hAnsi="Times New Roman"/>
          <w:b w:val="0"/>
          <w:sz w:val="26"/>
          <w:szCs w:val="26"/>
        </w:rPr>
        <w:t>Insecticides de la première fenêtre (type 1) : sept cent cinquante-huit mille (758 000) traitements ou doses,</w:t>
      </w:r>
    </w:p>
    <w:p w:rsidR="00F943B9" w:rsidRPr="00D767FA" w:rsidRDefault="00F943B9" w:rsidP="00D767FA">
      <w:pPr>
        <w:pStyle w:val="pucest"/>
        <w:numPr>
          <w:ilvl w:val="1"/>
          <w:numId w:val="1"/>
        </w:numPr>
        <w:tabs>
          <w:tab w:val="clear" w:pos="851"/>
          <w:tab w:val="clear" w:pos="2835"/>
          <w:tab w:val="left" w:pos="1134"/>
        </w:tabs>
        <w:spacing w:after="120"/>
        <w:ind w:left="1134" w:hanging="357"/>
        <w:rPr>
          <w:rFonts w:ascii="Times New Roman" w:hAnsi="Times New Roman"/>
          <w:b w:val="0"/>
          <w:sz w:val="26"/>
          <w:szCs w:val="26"/>
        </w:rPr>
      </w:pPr>
      <w:r w:rsidRPr="00D767FA">
        <w:rPr>
          <w:rFonts w:ascii="Times New Roman" w:hAnsi="Times New Roman"/>
          <w:b w:val="0"/>
          <w:sz w:val="26"/>
          <w:szCs w:val="26"/>
        </w:rPr>
        <w:t>Insecticides de la deuxième fenêtre (type 2) : neuf cent quarante-cinq mille (945 000) traitements ou doses,</w:t>
      </w:r>
    </w:p>
    <w:p w:rsidR="00F943B9" w:rsidRPr="00D767FA" w:rsidRDefault="00F943B9" w:rsidP="00D767FA">
      <w:pPr>
        <w:pStyle w:val="pucest"/>
        <w:numPr>
          <w:ilvl w:val="1"/>
          <w:numId w:val="1"/>
        </w:numPr>
        <w:tabs>
          <w:tab w:val="clear" w:pos="851"/>
          <w:tab w:val="clear" w:pos="2835"/>
          <w:tab w:val="left" w:pos="1134"/>
        </w:tabs>
        <w:spacing w:after="200"/>
        <w:ind w:left="1134" w:hanging="357"/>
        <w:rPr>
          <w:rFonts w:ascii="Times New Roman" w:hAnsi="Times New Roman"/>
          <w:b w:val="0"/>
          <w:sz w:val="26"/>
          <w:szCs w:val="26"/>
        </w:rPr>
      </w:pPr>
      <w:r w:rsidRPr="00D767FA">
        <w:rPr>
          <w:rFonts w:ascii="Times New Roman" w:hAnsi="Times New Roman"/>
          <w:b w:val="0"/>
          <w:sz w:val="26"/>
          <w:szCs w:val="26"/>
        </w:rPr>
        <w:t>Insecticides de la troisième fenêtre (type 3) : neuf cent trente-sept mille (937 000) traitements ou doses ;</w:t>
      </w:r>
    </w:p>
    <w:p w:rsidR="00F943B9" w:rsidRPr="00D767FA" w:rsidRDefault="00F943B9" w:rsidP="00F943B9">
      <w:pPr>
        <w:pStyle w:val="pucest"/>
        <w:numPr>
          <w:ilvl w:val="0"/>
          <w:numId w:val="1"/>
        </w:numPr>
        <w:tabs>
          <w:tab w:val="clear" w:pos="851"/>
          <w:tab w:val="clear" w:pos="2835"/>
          <w:tab w:val="left" w:pos="426"/>
        </w:tabs>
        <w:spacing w:after="200"/>
        <w:ind w:left="426"/>
        <w:rPr>
          <w:rFonts w:ascii="Times New Roman" w:hAnsi="Times New Roman"/>
          <w:sz w:val="26"/>
          <w:szCs w:val="26"/>
        </w:rPr>
      </w:pPr>
      <w:r w:rsidRPr="00D767FA">
        <w:rPr>
          <w:rFonts w:ascii="Times New Roman" w:hAnsi="Times New Roman"/>
          <w:sz w:val="26"/>
          <w:szCs w:val="26"/>
        </w:rPr>
        <w:t>Herbicides granulés de prélevée pour traiter une superficie de quatre cent quatre-vingt-douze mille (492 000) hectares ;</w:t>
      </w:r>
    </w:p>
    <w:p w:rsidR="00F943B9" w:rsidRPr="00D767FA" w:rsidRDefault="00F943B9" w:rsidP="00F943B9">
      <w:pPr>
        <w:pStyle w:val="pucest"/>
        <w:numPr>
          <w:ilvl w:val="0"/>
          <w:numId w:val="1"/>
        </w:numPr>
        <w:tabs>
          <w:tab w:val="clear" w:pos="851"/>
          <w:tab w:val="clear" w:pos="2835"/>
          <w:tab w:val="left" w:pos="426"/>
        </w:tabs>
        <w:spacing w:after="200"/>
        <w:ind w:left="426"/>
        <w:rPr>
          <w:rFonts w:ascii="Times New Roman" w:hAnsi="Times New Roman"/>
          <w:sz w:val="26"/>
          <w:szCs w:val="26"/>
        </w:rPr>
      </w:pPr>
      <w:r w:rsidRPr="00D767FA">
        <w:rPr>
          <w:rFonts w:ascii="Times New Roman" w:hAnsi="Times New Roman"/>
          <w:sz w:val="26"/>
          <w:szCs w:val="26"/>
        </w:rPr>
        <w:t>Herbicides liquides de prélevée pour traiter une superficie de quarante-deux mille (42 000) hectares ;</w:t>
      </w:r>
    </w:p>
    <w:p w:rsidR="00F943B9" w:rsidRPr="00D767FA" w:rsidRDefault="00F943B9" w:rsidP="00F943B9">
      <w:pPr>
        <w:pStyle w:val="pucest"/>
        <w:numPr>
          <w:ilvl w:val="0"/>
          <w:numId w:val="1"/>
        </w:numPr>
        <w:tabs>
          <w:tab w:val="clear" w:pos="851"/>
          <w:tab w:val="clear" w:pos="2835"/>
          <w:tab w:val="left" w:pos="426"/>
        </w:tabs>
        <w:spacing w:after="200"/>
        <w:ind w:left="426"/>
        <w:rPr>
          <w:rFonts w:ascii="Times New Roman" w:hAnsi="Times New Roman"/>
          <w:sz w:val="26"/>
          <w:szCs w:val="26"/>
        </w:rPr>
      </w:pPr>
      <w:r w:rsidRPr="00D767FA">
        <w:rPr>
          <w:rFonts w:ascii="Times New Roman" w:hAnsi="Times New Roman"/>
          <w:sz w:val="26"/>
          <w:szCs w:val="26"/>
        </w:rPr>
        <w:t>Herbicides liquides de post-levée coton pour couvrir une superficie de quatre-vingt-quinze mille (95 000) hectares ;</w:t>
      </w:r>
    </w:p>
    <w:p w:rsidR="00F943B9" w:rsidRPr="00D767FA" w:rsidRDefault="00F943B9" w:rsidP="00F943B9">
      <w:pPr>
        <w:pStyle w:val="pucest"/>
        <w:numPr>
          <w:ilvl w:val="0"/>
          <w:numId w:val="1"/>
        </w:numPr>
        <w:tabs>
          <w:tab w:val="clear" w:pos="851"/>
          <w:tab w:val="clear" w:pos="2835"/>
          <w:tab w:val="left" w:pos="426"/>
        </w:tabs>
        <w:spacing w:after="200"/>
        <w:ind w:left="426"/>
        <w:rPr>
          <w:rFonts w:ascii="Times New Roman" w:hAnsi="Times New Roman"/>
          <w:sz w:val="26"/>
          <w:szCs w:val="26"/>
        </w:rPr>
      </w:pPr>
      <w:r w:rsidRPr="00D767FA">
        <w:rPr>
          <w:rFonts w:ascii="Times New Roman" w:hAnsi="Times New Roman"/>
          <w:sz w:val="26"/>
          <w:szCs w:val="26"/>
        </w:rPr>
        <w:t>Régulateurs de croissance du cotonnier pour couvrir une superficie de soixante-trois mille (63 000) hectares ;</w:t>
      </w:r>
    </w:p>
    <w:p w:rsidR="00F943B9" w:rsidRPr="00D767FA" w:rsidRDefault="00F943B9" w:rsidP="00F943B9">
      <w:pPr>
        <w:pStyle w:val="pucest"/>
        <w:numPr>
          <w:ilvl w:val="0"/>
          <w:numId w:val="1"/>
        </w:numPr>
        <w:tabs>
          <w:tab w:val="clear" w:pos="851"/>
          <w:tab w:val="clear" w:pos="2835"/>
          <w:tab w:val="left" w:pos="426"/>
        </w:tabs>
        <w:spacing w:after="200"/>
        <w:ind w:left="426"/>
        <w:rPr>
          <w:rFonts w:ascii="Times New Roman" w:hAnsi="Times New Roman"/>
          <w:sz w:val="26"/>
          <w:szCs w:val="26"/>
        </w:rPr>
      </w:pPr>
      <w:r w:rsidRPr="00D767FA">
        <w:rPr>
          <w:rFonts w:ascii="Times New Roman" w:hAnsi="Times New Roman"/>
          <w:sz w:val="26"/>
          <w:szCs w:val="26"/>
        </w:rPr>
        <w:t>Appareils pulvérisateurs à dos à pression entretenue munis de cloche herbicide, de lance ou de rampe horizontale pour les traitements Bas Volume (BV), pour soixante-deux mille cinq cent (62 500) pièces ;</w:t>
      </w:r>
    </w:p>
    <w:p w:rsidR="00F943B9" w:rsidRPr="00D767FA" w:rsidRDefault="00F943B9" w:rsidP="00F943B9">
      <w:pPr>
        <w:pStyle w:val="pucest"/>
        <w:numPr>
          <w:ilvl w:val="0"/>
          <w:numId w:val="1"/>
        </w:numPr>
        <w:tabs>
          <w:tab w:val="clear" w:pos="851"/>
          <w:tab w:val="clear" w:pos="2835"/>
          <w:tab w:val="left" w:pos="426"/>
        </w:tabs>
        <w:spacing w:after="200"/>
        <w:ind w:left="426"/>
        <w:rPr>
          <w:rFonts w:ascii="Times New Roman" w:hAnsi="Times New Roman"/>
          <w:sz w:val="26"/>
          <w:szCs w:val="26"/>
        </w:rPr>
      </w:pPr>
      <w:r w:rsidRPr="00D767FA">
        <w:rPr>
          <w:rFonts w:ascii="Times New Roman" w:hAnsi="Times New Roman"/>
          <w:sz w:val="26"/>
          <w:szCs w:val="26"/>
        </w:rPr>
        <w:t>Appareils pulvérisateurs à piles ou à batterie rechargeable pour les traitements Très Bas Volume (TBV), pour trois cent (300) pièces ;</w:t>
      </w:r>
    </w:p>
    <w:p w:rsidR="00F943B9" w:rsidRPr="00D767FA" w:rsidRDefault="00F943B9" w:rsidP="00F943B9">
      <w:pPr>
        <w:pStyle w:val="pucest"/>
        <w:numPr>
          <w:ilvl w:val="0"/>
          <w:numId w:val="1"/>
        </w:numPr>
        <w:tabs>
          <w:tab w:val="clear" w:pos="851"/>
          <w:tab w:val="clear" w:pos="2835"/>
          <w:tab w:val="left" w:pos="426"/>
        </w:tabs>
        <w:spacing w:after="200"/>
        <w:ind w:left="426"/>
        <w:rPr>
          <w:rFonts w:ascii="Times New Roman" w:hAnsi="Times New Roman"/>
          <w:sz w:val="26"/>
          <w:szCs w:val="26"/>
        </w:rPr>
      </w:pPr>
      <w:r w:rsidRPr="00D767FA">
        <w:rPr>
          <w:rFonts w:ascii="Times New Roman" w:hAnsi="Times New Roman"/>
          <w:sz w:val="26"/>
          <w:szCs w:val="26"/>
        </w:rPr>
        <w:t>Appareils à moteur ou atomiseurs pour les traitements Bas Volume, pour deux cent (200) pièces.</w:t>
      </w:r>
    </w:p>
    <w:p w:rsidR="00BD7B1A" w:rsidRPr="00D767FA" w:rsidRDefault="00BD7B1A" w:rsidP="00BD7B1A">
      <w:pPr>
        <w:pStyle w:val="Titre4"/>
        <w:numPr>
          <w:ilvl w:val="0"/>
          <w:numId w:val="5"/>
        </w:numPr>
        <w:tabs>
          <w:tab w:val="clear" w:pos="2410"/>
          <w:tab w:val="clear" w:pos="2835"/>
          <w:tab w:val="left" w:pos="0"/>
        </w:tabs>
        <w:spacing w:after="120"/>
        <w:ind w:left="425" w:hanging="357"/>
        <w:jc w:val="both"/>
        <w:rPr>
          <w:rFonts w:ascii="Times New Roman" w:hAnsi="Times New Roman"/>
          <w:b/>
          <w:i w:val="0"/>
          <w:sz w:val="26"/>
          <w:szCs w:val="26"/>
          <w:u w:val="single"/>
        </w:rPr>
      </w:pPr>
      <w:bookmarkStart w:id="0" w:name="_Toc109048897"/>
      <w:r w:rsidRPr="00D767FA">
        <w:rPr>
          <w:rFonts w:ascii="Times New Roman" w:hAnsi="Times New Roman"/>
          <w:b/>
          <w:i w:val="0"/>
          <w:sz w:val="26"/>
          <w:szCs w:val="26"/>
          <w:u w:val="single"/>
        </w:rPr>
        <w:t>Insecticides</w:t>
      </w:r>
      <w:bookmarkEnd w:id="0"/>
    </w:p>
    <w:p w:rsidR="00BD7B1A" w:rsidRPr="00D767FA" w:rsidRDefault="00BD7B1A" w:rsidP="00BD7B1A">
      <w:pPr>
        <w:jc w:val="both"/>
        <w:rPr>
          <w:rFonts w:ascii="Times New Roman" w:hAnsi="Times New Roman"/>
          <w:bCs/>
          <w:sz w:val="26"/>
          <w:szCs w:val="26"/>
        </w:rPr>
      </w:pPr>
      <w:r w:rsidRPr="00D767FA">
        <w:rPr>
          <w:rFonts w:ascii="Times New Roman" w:hAnsi="Times New Roman"/>
          <w:bCs/>
          <w:sz w:val="26"/>
          <w:szCs w:val="26"/>
        </w:rPr>
        <w:t>Les insecticides sont classés en trois catégories différentes, et subdivisés en plusieurs lots.</w:t>
      </w:r>
    </w:p>
    <w:p w:rsidR="00BD7B1A" w:rsidRPr="00D767FA" w:rsidRDefault="00BD7B1A" w:rsidP="00CB3F95">
      <w:pPr>
        <w:widowControl w:val="0"/>
        <w:numPr>
          <w:ilvl w:val="2"/>
          <w:numId w:val="4"/>
        </w:numPr>
        <w:tabs>
          <w:tab w:val="left" w:pos="709"/>
          <w:tab w:val="left" w:pos="2410"/>
          <w:tab w:val="left" w:pos="2835"/>
        </w:tabs>
        <w:spacing w:before="240" w:after="200" w:line="240" w:lineRule="auto"/>
        <w:ind w:hanging="436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767FA">
        <w:rPr>
          <w:rFonts w:ascii="Times New Roman" w:hAnsi="Times New Roman"/>
          <w:b/>
          <w:bCs/>
          <w:i/>
          <w:sz w:val="26"/>
          <w:szCs w:val="26"/>
        </w:rPr>
        <w:t>Insecticides de première fenêtre (lots IT1)</w:t>
      </w:r>
    </w:p>
    <w:p w:rsidR="00BD7B1A" w:rsidRPr="00D767FA" w:rsidRDefault="00BD7B1A" w:rsidP="00BD7B1A">
      <w:pPr>
        <w:jc w:val="both"/>
        <w:rPr>
          <w:rFonts w:ascii="Times New Roman" w:hAnsi="Times New Roman"/>
          <w:b/>
          <w:sz w:val="26"/>
          <w:szCs w:val="26"/>
        </w:rPr>
      </w:pPr>
      <w:r w:rsidRPr="00D767FA">
        <w:rPr>
          <w:rFonts w:ascii="Times New Roman" w:hAnsi="Times New Roman"/>
          <w:b/>
          <w:sz w:val="26"/>
          <w:szCs w:val="26"/>
        </w:rPr>
        <w:t>Les lots IT1 (IT1-01 à IT1-17) d’un volume de sept cent cinquante-huit mille (758 000) traitements ou doses</w:t>
      </w:r>
      <w:r w:rsidRPr="00D767FA">
        <w:rPr>
          <w:rStyle w:val="Appelnotedebasdep"/>
          <w:rFonts w:ascii="Times New Roman" w:hAnsi="Times New Roman"/>
          <w:b/>
          <w:sz w:val="26"/>
          <w:szCs w:val="26"/>
        </w:rPr>
        <w:footnoteReference w:id="1"/>
      </w:r>
      <w:r w:rsidRPr="00D767FA">
        <w:rPr>
          <w:rFonts w:ascii="Times New Roman" w:hAnsi="Times New Roman"/>
          <w:b/>
          <w:sz w:val="26"/>
          <w:szCs w:val="26"/>
        </w:rPr>
        <w:t xml:space="preserve"> </w:t>
      </w:r>
      <w:r w:rsidRPr="00D767FA">
        <w:rPr>
          <w:rFonts w:ascii="Times New Roman" w:hAnsi="Times New Roman"/>
          <w:sz w:val="26"/>
          <w:szCs w:val="26"/>
        </w:rPr>
        <w:t>sont répartis suivant le tableau 1 ci-dessous :</w:t>
      </w:r>
    </w:p>
    <w:p w:rsidR="00BD7B1A" w:rsidRPr="00D767FA" w:rsidRDefault="00BD7B1A" w:rsidP="00BD7B1A">
      <w:pPr>
        <w:spacing w:after="120"/>
        <w:ind w:right="-284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D767FA">
        <w:rPr>
          <w:rFonts w:ascii="Times New Roman" w:hAnsi="Times New Roman"/>
          <w:b/>
          <w:bCs/>
          <w:sz w:val="26"/>
          <w:szCs w:val="26"/>
          <w:u w:val="single"/>
        </w:rPr>
        <w:t>Tableau 1 </w:t>
      </w:r>
      <w:r w:rsidRPr="00D767F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767FA">
        <w:rPr>
          <w:rFonts w:ascii="Times New Roman" w:hAnsi="Times New Roman"/>
          <w:bCs/>
          <w:sz w:val="26"/>
          <w:szCs w:val="26"/>
        </w:rPr>
        <w:t xml:space="preserve">Lots IT1 – </w:t>
      </w:r>
      <w:r w:rsidRPr="00D767FA">
        <w:rPr>
          <w:rFonts w:ascii="Times New Roman" w:hAnsi="Times New Roman"/>
          <w:sz w:val="26"/>
          <w:szCs w:val="26"/>
        </w:rPr>
        <w:t xml:space="preserve">758 000 </w:t>
      </w:r>
      <w:r w:rsidRPr="00D767FA">
        <w:rPr>
          <w:rFonts w:ascii="Times New Roman" w:hAnsi="Times New Roman"/>
          <w:bCs/>
          <w:sz w:val="26"/>
          <w:szCs w:val="26"/>
        </w:rPr>
        <w:t>doses ou traitements d’insecticides de la première fenêtre</w:t>
      </w:r>
    </w:p>
    <w:p w:rsidR="00BD7B1A" w:rsidRPr="00D767FA" w:rsidRDefault="00BD7B1A" w:rsidP="00BD7B1A">
      <w:pPr>
        <w:spacing w:after="120"/>
        <w:ind w:right="-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767FA">
        <w:rPr>
          <w:rFonts w:ascii="Times New Roman" w:hAnsi="Times New Roman"/>
          <w:b/>
          <w:bCs/>
          <w:sz w:val="26"/>
          <w:szCs w:val="26"/>
          <w:u w:val="single"/>
        </w:rPr>
        <w:t>Etiquette de l’emballage de couleur verte</w:t>
      </w:r>
    </w:p>
    <w:p w:rsidR="00BD7B1A" w:rsidRDefault="00BD7B1A" w:rsidP="00BD7B1A">
      <w:pPr>
        <w:ind w:right="-284"/>
        <w:jc w:val="both"/>
        <w:rPr>
          <w:rFonts w:ascii="Times New Roman" w:hAnsi="Times New Roman"/>
          <w:b/>
          <w:iCs/>
          <w:highlight w:val="yellow"/>
        </w:rPr>
      </w:pPr>
      <w:r w:rsidRPr="004B1D99">
        <w:rPr>
          <w:noProof/>
        </w:rPr>
        <w:drawing>
          <wp:inline distT="0" distB="0" distL="0" distR="0">
            <wp:extent cx="5943600" cy="56095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A" w:rsidRPr="00D767FA" w:rsidRDefault="00BD7B1A" w:rsidP="00BD7B1A">
      <w:pPr>
        <w:ind w:right="-284"/>
        <w:jc w:val="both"/>
        <w:rPr>
          <w:rFonts w:ascii="Times New Roman" w:hAnsi="Times New Roman"/>
          <w:b/>
          <w:iCs/>
          <w:sz w:val="26"/>
          <w:szCs w:val="26"/>
          <w:highlight w:val="yellow"/>
        </w:rPr>
      </w:pPr>
    </w:p>
    <w:p w:rsidR="00BD7B1A" w:rsidRPr="00D767FA" w:rsidRDefault="00BD7B1A" w:rsidP="00CB3F95">
      <w:pPr>
        <w:widowControl w:val="0"/>
        <w:tabs>
          <w:tab w:val="left" w:pos="709"/>
          <w:tab w:val="left" w:pos="2410"/>
          <w:tab w:val="left" w:pos="2835"/>
        </w:tabs>
        <w:spacing w:before="240" w:after="200" w:line="240" w:lineRule="auto"/>
        <w:ind w:left="720" w:hanging="436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C45238">
        <w:rPr>
          <w:rFonts w:ascii="Times New Roman" w:hAnsi="Times New Roman"/>
          <w:i/>
          <w:iCs/>
          <w:sz w:val="16"/>
          <w:szCs w:val="16"/>
          <w:highlight w:val="yellow"/>
        </w:rPr>
        <w:br w:type="page"/>
      </w:r>
      <w:r w:rsidR="00CB3F95" w:rsidRPr="00D767FA">
        <w:rPr>
          <w:rFonts w:ascii="Times New Roman" w:hAnsi="Times New Roman"/>
          <w:b/>
          <w:bCs/>
          <w:i/>
          <w:sz w:val="26"/>
          <w:szCs w:val="26"/>
        </w:rPr>
        <w:t xml:space="preserve">1.2. </w:t>
      </w:r>
      <w:r w:rsidRPr="00D767FA">
        <w:rPr>
          <w:rFonts w:ascii="Times New Roman" w:hAnsi="Times New Roman"/>
          <w:b/>
          <w:bCs/>
          <w:i/>
          <w:sz w:val="26"/>
          <w:szCs w:val="26"/>
        </w:rPr>
        <w:t>Insecticides de deuxième fenêtre (lots IT2)</w:t>
      </w:r>
    </w:p>
    <w:p w:rsidR="00BD7B1A" w:rsidRPr="00D767FA" w:rsidRDefault="00BD7B1A" w:rsidP="009B7DFB">
      <w:pPr>
        <w:spacing w:before="200"/>
        <w:jc w:val="both"/>
        <w:rPr>
          <w:rFonts w:ascii="Times New Roman" w:hAnsi="Times New Roman"/>
          <w:sz w:val="26"/>
          <w:szCs w:val="26"/>
        </w:rPr>
      </w:pPr>
      <w:r w:rsidRPr="00D767FA">
        <w:rPr>
          <w:rFonts w:ascii="Times New Roman" w:hAnsi="Times New Roman"/>
          <w:b/>
          <w:sz w:val="26"/>
          <w:szCs w:val="26"/>
        </w:rPr>
        <w:t>Les lots IT2 (IT2-01 à IT2-19)</w:t>
      </w:r>
      <w:r w:rsidRPr="00D767FA">
        <w:rPr>
          <w:rFonts w:ascii="Times New Roman" w:hAnsi="Times New Roman"/>
          <w:sz w:val="26"/>
          <w:szCs w:val="26"/>
        </w:rPr>
        <w:t>,</w:t>
      </w:r>
      <w:r w:rsidRPr="00D767FA">
        <w:rPr>
          <w:rFonts w:ascii="Times New Roman" w:hAnsi="Times New Roman"/>
          <w:b/>
          <w:sz w:val="26"/>
          <w:szCs w:val="26"/>
        </w:rPr>
        <w:t xml:space="preserve"> </w:t>
      </w:r>
      <w:r w:rsidRPr="00D767FA">
        <w:rPr>
          <w:rFonts w:ascii="Times New Roman" w:hAnsi="Times New Roman"/>
          <w:sz w:val="26"/>
          <w:szCs w:val="26"/>
        </w:rPr>
        <w:t>composés de binaires pyréthrinoïdes (ou autres nouvelles familles chimiques) + OP acaricides pour</w:t>
      </w:r>
      <w:r w:rsidRPr="00D767FA">
        <w:rPr>
          <w:rFonts w:ascii="Times New Roman" w:hAnsi="Times New Roman"/>
          <w:b/>
          <w:sz w:val="26"/>
          <w:szCs w:val="26"/>
        </w:rPr>
        <w:t xml:space="preserve"> un volume de neuf cent quarante-cinq mille (945 000) traitements ou doses</w:t>
      </w:r>
      <w:r w:rsidRPr="00D767FA">
        <w:rPr>
          <w:rStyle w:val="Appelnotedebasdep"/>
          <w:rFonts w:ascii="Times New Roman" w:hAnsi="Times New Roman"/>
          <w:b/>
          <w:sz w:val="26"/>
          <w:szCs w:val="26"/>
        </w:rPr>
        <w:footnoteReference w:id="2"/>
      </w:r>
      <w:r w:rsidRPr="00D767FA">
        <w:rPr>
          <w:rFonts w:ascii="Times New Roman" w:hAnsi="Times New Roman"/>
          <w:b/>
          <w:sz w:val="26"/>
          <w:szCs w:val="26"/>
        </w:rPr>
        <w:t xml:space="preserve">, </w:t>
      </w:r>
      <w:r w:rsidRPr="00D767FA">
        <w:rPr>
          <w:rFonts w:ascii="Times New Roman" w:hAnsi="Times New Roman"/>
          <w:sz w:val="26"/>
          <w:szCs w:val="26"/>
        </w:rPr>
        <w:t>et sont répartis comme suit dans le tableau 2 ci-dessous :</w:t>
      </w:r>
    </w:p>
    <w:p w:rsidR="00BD7B1A" w:rsidRPr="00D767FA" w:rsidRDefault="00BD7B1A" w:rsidP="00BD7B1A">
      <w:pPr>
        <w:spacing w:after="120"/>
        <w:ind w:right="-284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D767FA">
        <w:rPr>
          <w:rFonts w:ascii="Times New Roman" w:hAnsi="Times New Roman"/>
          <w:b/>
          <w:bCs/>
          <w:sz w:val="26"/>
          <w:szCs w:val="26"/>
          <w:u w:val="single"/>
        </w:rPr>
        <w:t>Tableau 2 </w:t>
      </w:r>
      <w:r w:rsidRPr="00D767F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767FA">
        <w:rPr>
          <w:rFonts w:ascii="Times New Roman" w:hAnsi="Times New Roman"/>
          <w:bCs/>
          <w:sz w:val="26"/>
          <w:szCs w:val="26"/>
        </w:rPr>
        <w:t>Lots IT2 - 945 000 doses ou traitements d’insecticides de la deuxième fenêtre</w:t>
      </w:r>
    </w:p>
    <w:p w:rsidR="00BD7B1A" w:rsidRPr="00D767FA" w:rsidRDefault="00BD7B1A" w:rsidP="00BD7B1A">
      <w:pPr>
        <w:spacing w:after="120"/>
        <w:ind w:right="-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767FA">
        <w:rPr>
          <w:rFonts w:ascii="Times New Roman" w:hAnsi="Times New Roman"/>
          <w:b/>
          <w:bCs/>
          <w:sz w:val="26"/>
          <w:szCs w:val="26"/>
          <w:u w:val="single"/>
        </w:rPr>
        <w:t>Etiquette de l’emballage de couleur rouge</w:t>
      </w:r>
    </w:p>
    <w:p w:rsidR="00BD7B1A" w:rsidRDefault="00BD7B1A" w:rsidP="00BD7B1A">
      <w:pPr>
        <w:spacing w:after="120"/>
        <w:ind w:right="-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006B2">
        <w:rPr>
          <w:noProof/>
        </w:rPr>
        <w:drawing>
          <wp:inline distT="0" distB="0" distL="0" distR="0">
            <wp:extent cx="5943600" cy="56445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A" w:rsidRPr="00D767FA" w:rsidRDefault="00BD7B1A" w:rsidP="00BD7B1A">
      <w:pPr>
        <w:spacing w:after="120"/>
        <w:ind w:right="-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7B1A" w:rsidRPr="00D767FA" w:rsidRDefault="00BD7B1A" w:rsidP="00CB3F95">
      <w:pPr>
        <w:widowControl w:val="0"/>
        <w:tabs>
          <w:tab w:val="left" w:pos="709"/>
          <w:tab w:val="left" w:pos="2410"/>
          <w:tab w:val="left" w:pos="2835"/>
        </w:tabs>
        <w:spacing w:before="240" w:after="120" w:line="240" w:lineRule="auto"/>
        <w:ind w:left="720" w:hanging="43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  <w:u w:val="single"/>
        </w:rPr>
        <w:br w:type="page"/>
      </w:r>
      <w:r w:rsidR="00CB3F95" w:rsidRPr="00D767F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1.3. </w:t>
      </w:r>
      <w:r w:rsidRPr="00D767FA">
        <w:rPr>
          <w:rFonts w:ascii="Times New Roman" w:hAnsi="Times New Roman" w:cs="Times New Roman"/>
          <w:b/>
          <w:bCs/>
          <w:i/>
          <w:sz w:val="26"/>
          <w:szCs w:val="26"/>
        </w:rPr>
        <w:t>Insecticides de troisième fenêtre (lots IT3)</w:t>
      </w:r>
    </w:p>
    <w:p w:rsidR="00BD7B1A" w:rsidRPr="00D767FA" w:rsidRDefault="00BD7B1A" w:rsidP="00BD7B1A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80364687"/>
      <w:r w:rsidRPr="00D767FA">
        <w:rPr>
          <w:rFonts w:ascii="Times New Roman" w:hAnsi="Times New Roman" w:cs="Times New Roman"/>
          <w:b/>
          <w:sz w:val="26"/>
          <w:szCs w:val="26"/>
        </w:rPr>
        <w:t>Les lots IT3 (IT3-01 à IT3-19),</w:t>
      </w:r>
      <w:r w:rsidRPr="00D767FA">
        <w:rPr>
          <w:rFonts w:ascii="Times New Roman" w:hAnsi="Times New Roman" w:cs="Times New Roman"/>
          <w:sz w:val="26"/>
          <w:szCs w:val="26"/>
        </w:rPr>
        <w:t xml:space="preserve"> constitués de binaires pyréthrinoïdes (ou autres familles chimiques) associés aux néonicotinoïdes (ou régulateurs de croissance) aphicides/aleurodicides pour</w:t>
      </w:r>
      <w:r w:rsidRPr="00D767FA">
        <w:rPr>
          <w:rFonts w:ascii="Times New Roman" w:hAnsi="Times New Roman" w:cs="Times New Roman"/>
          <w:b/>
          <w:sz w:val="26"/>
          <w:szCs w:val="26"/>
        </w:rPr>
        <w:t xml:space="preserve"> neuf cent trente-sept mille (937 000) traitements ou doses</w:t>
      </w:r>
      <w:r w:rsidRPr="00D767FA">
        <w:rPr>
          <w:rFonts w:ascii="Times New Roman" w:hAnsi="Times New Roman" w:cs="Times New Roman"/>
          <w:b/>
          <w:sz w:val="26"/>
          <w:szCs w:val="26"/>
          <w:vertAlign w:val="superscript"/>
        </w:rPr>
        <w:footnoteReference w:id="3"/>
      </w:r>
      <w:r w:rsidRPr="00D767FA">
        <w:rPr>
          <w:rFonts w:ascii="Times New Roman" w:hAnsi="Times New Roman" w:cs="Times New Roman"/>
          <w:b/>
          <w:sz w:val="26"/>
          <w:szCs w:val="26"/>
        </w:rPr>
        <w:t>,</w:t>
      </w:r>
      <w:r w:rsidRPr="00D767FA">
        <w:rPr>
          <w:rFonts w:ascii="Times New Roman" w:hAnsi="Times New Roman" w:cs="Times New Roman"/>
          <w:sz w:val="26"/>
          <w:szCs w:val="26"/>
        </w:rPr>
        <w:t xml:space="preserve"> sont présentés dans le tableau 3 suivant.</w:t>
      </w:r>
      <w:bookmarkEnd w:id="1"/>
    </w:p>
    <w:p w:rsidR="00BD7B1A" w:rsidRPr="00D767FA" w:rsidRDefault="00BD7B1A" w:rsidP="00BD7B1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767FA">
        <w:rPr>
          <w:rFonts w:ascii="Times New Roman" w:hAnsi="Times New Roman" w:cs="Times New Roman"/>
          <w:b/>
          <w:bCs/>
          <w:sz w:val="26"/>
          <w:szCs w:val="26"/>
          <w:u w:val="single"/>
        </w:rPr>
        <w:t>Tableau 3 </w:t>
      </w:r>
      <w:r w:rsidRPr="00D767FA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D767FA">
        <w:rPr>
          <w:rFonts w:ascii="Times New Roman" w:hAnsi="Times New Roman" w:cs="Times New Roman"/>
          <w:bCs/>
          <w:sz w:val="26"/>
          <w:szCs w:val="26"/>
        </w:rPr>
        <w:t>Lots IT3 - 937 000 doses ou traitements d’insecticides de la troisième fenêtre</w:t>
      </w:r>
    </w:p>
    <w:p w:rsidR="00BD7B1A" w:rsidRPr="00D767FA" w:rsidRDefault="00BD7B1A" w:rsidP="00BD7B1A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767FA">
        <w:rPr>
          <w:rFonts w:ascii="Times New Roman" w:hAnsi="Times New Roman" w:cs="Times New Roman"/>
          <w:b/>
          <w:bCs/>
          <w:sz w:val="26"/>
          <w:szCs w:val="26"/>
          <w:u w:val="single"/>
        </w:rPr>
        <w:t>Etiquette de l’emballage de couleur jaune</w:t>
      </w:r>
    </w:p>
    <w:p w:rsidR="00BD7B1A" w:rsidRPr="00C06A72" w:rsidRDefault="00BD7B1A" w:rsidP="00BD7B1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C52C3">
        <w:rPr>
          <w:noProof/>
        </w:rPr>
        <w:drawing>
          <wp:inline distT="0" distB="0" distL="0" distR="0">
            <wp:extent cx="5937885" cy="6037580"/>
            <wp:effectExtent l="0" t="0" r="571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A" w:rsidRPr="001F4865" w:rsidRDefault="00BD7B1A" w:rsidP="001F486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D7B1A" w:rsidRPr="001F4865" w:rsidRDefault="00BD7B1A" w:rsidP="00BD7B1A">
      <w:pPr>
        <w:pStyle w:val="Titre4"/>
        <w:numPr>
          <w:ilvl w:val="0"/>
          <w:numId w:val="5"/>
        </w:numPr>
        <w:tabs>
          <w:tab w:val="clear" w:pos="2410"/>
          <w:tab w:val="clear" w:pos="2835"/>
          <w:tab w:val="left" w:pos="0"/>
        </w:tabs>
        <w:spacing w:after="120"/>
        <w:ind w:left="425" w:hanging="357"/>
        <w:jc w:val="both"/>
        <w:rPr>
          <w:rFonts w:ascii="Times New Roman" w:hAnsi="Times New Roman"/>
          <w:b/>
          <w:i w:val="0"/>
          <w:sz w:val="26"/>
          <w:szCs w:val="26"/>
          <w:u w:val="single"/>
        </w:rPr>
      </w:pPr>
      <w:bookmarkStart w:id="2" w:name="_Toc83177783"/>
      <w:bookmarkStart w:id="3" w:name="_Toc117403983"/>
      <w:r>
        <w:rPr>
          <w:rFonts w:ascii="Times New Roman" w:hAnsi="Times New Roman"/>
          <w:bCs/>
          <w:smallCaps/>
          <w:sz w:val="26"/>
          <w:szCs w:val="26"/>
          <w:highlight w:val="yellow"/>
        </w:rPr>
        <w:br w:type="page"/>
      </w:r>
      <w:bookmarkStart w:id="4" w:name="_Toc109048898"/>
      <w:r w:rsidRPr="001F4865">
        <w:rPr>
          <w:rFonts w:ascii="Times New Roman" w:hAnsi="Times New Roman"/>
          <w:b/>
          <w:i w:val="0"/>
          <w:sz w:val="26"/>
          <w:szCs w:val="26"/>
          <w:u w:val="single"/>
        </w:rPr>
        <w:t>Herbicides</w:t>
      </w:r>
      <w:bookmarkEnd w:id="4"/>
    </w:p>
    <w:p w:rsidR="00BD7B1A" w:rsidRPr="001F4865" w:rsidRDefault="00BD7B1A" w:rsidP="00BD7B1A">
      <w:pPr>
        <w:spacing w:after="120"/>
        <w:ind w:right="-284"/>
        <w:jc w:val="both"/>
        <w:rPr>
          <w:rFonts w:ascii="Times New Roman" w:hAnsi="Times New Roman"/>
          <w:bCs/>
          <w:sz w:val="26"/>
          <w:szCs w:val="26"/>
        </w:rPr>
      </w:pPr>
      <w:r w:rsidRPr="001F4865">
        <w:rPr>
          <w:rFonts w:ascii="Times New Roman" w:hAnsi="Times New Roman"/>
          <w:bCs/>
          <w:sz w:val="26"/>
          <w:szCs w:val="26"/>
        </w:rPr>
        <w:t>Les herbicides coton sont divisés en trois catégories différentes :</w:t>
      </w:r>
    </w:p>
    <w:p w:rsidR="003B3B4F" w:rsidRPr="001F4865" w:rsidRDefault="00BD7B1A" w:rsidP="001F4865">
      <w:pPr>
        <w:pStyle w:val="Paragraphedeliste"/>
        <w:widowControl w:val="0"/>
        <w:numPr>
          <w:ilvl w:val="1"/>
          <w:numId w:val="5"/>
        </w:numPr>
        <w:tabs>
          <w:tab w:val="left" w:pos="709"/>
          <w:tab w:val="left" w:pos="2835"/>
        </w:tabs>
        <w:spacing w:before="240" w:after="120" w:line="240" w:lineRule="auto"/>
        <w:ind w:left="709" w:hanging="425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F4865">
        <w:rPr>
          <w:rFonts w:ascii="Times New Roman" w:hAnsi="Times New Roman"/>
          <w:b/>
          <w:bCs/>
          <w:i/>
          <w:sz w:val="26"/>
          <w:szCs w:val="26"/>
        </w:rPr>
        <w:t xml:space="preserve">Herbicides granulés de prélevée coton </w:t>
      </w:r>
      <w:r w:rsidR="009B7DFB" w:rsidRPr="001F4865">
        <w:rPr>
          <w:rFonts w:ascii="Times New Roman" w:hAnsi="Times New Roman"/>
          <w:b/>
          <w:bCs/>
          <w:i/>
          <w:sz w:val="26"/>
          <w:szCs w:val="26"/>
        </w:rPr>
        <w:t>(lots HPG-01 à HPG-15)</w:t>
      </w:r>
    </w:p>
    <w:p w:rsidR="00BD7B1A" w:rsidRPr="001F4865" w:rsidRDefault="003B3B4F" w:rsidP="009B7DFB">
      <w:pPr>
        <w:pStyle w:val="Corpsdetexte"/>
        <w:keepNext w:val="0"/>
        <w:keepLines w:val="0"/>
        <w:widowControl/>
        <w:spacing w:before="200" w:after="120"/>
        <w:ind w:left="0"/>
        <w:rPr>
          <w:rFonts w:ascii="Times New Roman" w:hAnsi="Times New Roman"/>
          <w:b w:val="0"/>
          <w:bCs/>
          <w:sz w:val="26"/>
          <w:szCs w:val="26"/>
        </w:rPr>
      </w:pPr>
      <w:r w:rsidRPr="001F4865">
        <w:rPr>
          <w:rFonts w:ascii="Times New Roman" w:hAnsi="Times New Roman"/>
          <w:bCs/>
          <w:sz w:val="26"/>
          <w:szCs w:val="26"/>
        </w:rPr>
        <w:t>Ces herbicides sont destinés à</w:t>
      </w:r>
      <w:r w:rsidR="00BD7B1A" w:rsidRPr="001F4865">
        <w:rPr>
          <w:rFonts w:ascii="Times New Roman" w:hAnsi="Times New Roman"/>
          <w:bCs/>
          <w:sz w:val="26"/>
          <w:szCs w:val="26"/>
        </w:rPr>
        <w:t xml:space="preserve"> traiter une superficie de quatre cent quatre-vingt-douze mille (492 000) hectares</w:t>
      </w:r>
      <w:r w:rsidR="00BD7B1A" w:rsidRPr="001F4865">
        <w:rPr>
          <w:rFonts w:ascii="Times New Roman" w:hAnsi="Times New Roman"/>
          <w:b w:val="0"/>
          <w:bCs/>
          <w:sz w:val="26"/>
          <w:szCs w:val="26"/>
        </w:rPr>
        <w:t>. Pour ces herbicides, les destinations de livraison sont définies dans le tableau 4 ci-après :</w:t>
      </w:r>
    </w:p>
    <w:p w:rsidR="00BD7B1A" w:rsidRPr="001F4865" w:rsidRDefault="00BD7B1A" w:rsidP="00BD7B1A">
      <w:pPr>
        <w:tabs>
          <w:tab w:val="left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F4865">
        <w:rPr>
          <w:rFonts w:ascii="Times New Roman" w:hAnsi="Times New Roman"/>
          <w:b/>
          <w:bCs/>
          <w:sz w:val="26"/>
          <w:szCs w:val="26"/>
          <w:u w:val="single"/>
        </w:rPr>
        <w:t>Tableau 4 </w:t>
      </w:r>
      <w:r w:rsidRPr="001F4865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1F4865">
        <w:rPr>
          <w:rFonts w:ascii="Times New Roman" w:hAnsi="Times New Roman"/>
          <w:bCs/>
          <w:sz w:val="26"/>
          <w:szCs w:val="26"/>
        </w:rPr>
        <w:t>Lots HPG - herbicides granulés de prélevée coton</w:t>
      </w:r>
    </w:p>
    <w:p w:rsidR="00BD7B1A" w:rsidRDefault="00BD7B1A" w:rsidP="00BD7B1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A3989">
        <w:rPr>
          <w:noProof/>
        </w:rPr>
        <w:drawing>
          <wp:inline distT="0" distB="0" distL="0" distR="0">
            <wp:extent cx="5943600" cy="40271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A" w:rsidRPr="008F654B" w:rsidRDefault="00BD7B1A" w:rsidP="00BD7B1A">
      <w:pPr>
        <w:pStyle w:val="Corpsdetexte"/>
        <w:keepNext w:val="0"/>
        <w:keepLines w:val="0"/>
        <w:widowControl/>
        <w:ind w:left="0"/>
        <w:rPr>
          <w:rFonts w:ascii="Times New Roman" w:hAnsi="Times New Roman"/>
          <w:bCs/>
          <w:i/>
          <w:sz w:val="26"/>
          <w:szCs w:val="26"/>
          <w:u w:val="single"/>
        </w:rPr>
      </w:pPr>
    </w:p>
    <w:p w:rsidR="003B3B4F" w:rsidRPr="008F654B" w:rsidRDefault="00BD7B1A" w:rsidP="008F654B">
      <w:pPr>
        <w:pStyle w:val="Paragraphedeliste"/>
        <w:widowControl w:val="0"/>
        <w:numPr>
          <w:ilvl w:val="1"/>
          <w:numId w:val="5"/>
        </w:numPr>
        <w:tabs>
          <w:tab w:val="left" w:pos="709"/>
          <w:tab w:val="left" w:pos="2835"/>
        </w:tabs>
        <w:spacing w:before="240" w:after="120" w:line="240" w:lineRule="auto"/>
        <w:ind w:left="709" w:hanging="425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8F654B">
        <w:rPr>
          <w:rFonts w:ascii="Times New Roman" w:hAnsi="Times New Roman"/>
          <w:b/>
          <w:bCs/>
          <w:i/>
          <w:sz w:val="26"/>
          <w:szCs w:val="26"/>
        </w:rPr>
        <w:t xml:space="preserve"> Herbicides liquides de prélevée coton </w:t>
      </w:r>
      <w:r w:rsidR="0054271E" w:rsidRPr="008F654B">
        <w:rPr>
          <w:rFonts w:ascii="Times New Roman" w:hAnsi="Times New Roman"/>
          <w:b/>
          <w:bCs/>
          <w:i/>
          <w:sz w:val="26"/>
          <w:szCs w:val="26"/>
        </w:rPr>
        <w:t>(lot HPL)</w:t>
      </w:r>
    </w:p>
    <w:p w:rsidR="00BD7B1A" w:rsidRPr="008F654B" w:rsidRDefault="003B3B4F" w:rsidP="00BD7B1A">
      <w:pPr>
        <w:pStyle w:val="Corpsdetexte"/>
        <w:keepNext w:val="0"/>
        <w:keepLines w:val="0"/>
        <w:widowControl/>
        <w:ind w:left="0"/>
        <w:rPr>
          <w:rFonts w:ascii="Times New Roman" w:hAnsi="Times New Roman"/>
          <w:b w:val="0"/>
          <w:bCs/>
          <w:sz w:val="26"/>
          <w:szCs w:val="26"/>
        </w:rPr>
      </w:pPr>
      <w:r w:rsidRPr="008F654B">
        <w:rPr>
          <w:rFonts w:ascii="Times New Roman" w:hAnsi="Times New Roman"/>
          <w:b w:val="0"/>
          <w:bCs/>
          <w:sz w:val="26"/>
          <w:szCs w:val="26"/>
        </w:rPr>
        <w:t xml:space="preserve">Ils sont constitués d’herbicides simples, binaires et/ou ternaires, et sont </w:t>
      </w:r>
      <w:r w:rsidR="00BD7B1A" w:rsidRPr="008F654B">
        <w:rPr>
          <w:rFonts w:ascii="Times New Roman" w:hAnsi="Times New Roman"/>
          <w:b w:val="0"/>
          <w:bCs/>
          <w:sz w:val="26"/>
          <w:szCs w:val="26"/>
        </w:rPr>
        <w:t>destiné</w:t>
      </w:r>
      <w:r w:rsidRPr="008F654B">
        <w:rPr>
          <w:rFonts w:ascii="Times New Roman" w:hAnsi="Times New Roman"/>
          <w:b w:val="0"/>
          <w:bCs/>
          <w:sz w:val="26"/>
          <w:szCs w:val="26"/>
        </w:rPr>
        <w:t>s</w:t>
      </w:r>
      <w:r w:rsidR="00BD7B1A" w:rsidRPr="008F654B">
        <w:rPr>
          <w:rFonts w:ascii="Times New Roman" w:hAnsi="Times New Roman"/>
          <w:b w:val="0"/>
          <w:bCs/>
          <w:sz w:val="26"/>
          <w:szCs w:val="26"/>
        </w:rPr>
        <w:t xml:space="preserve"> à couvrir </w:t>
      </w:r>
      <w:r w:rsidR="001E21D5" w:rsidRPr="008F654B">
        <w:rPr>
          <w:rFonts w:ascii="Times New Roman" w:hAnsi="Times New Roman"/>
          <w:b w:val="0"/>
          <w:bCs/>
          <w:sz w:val="26"/>
          <w:szCs w:val="26"/>
        </w:rPr>
        <w:t xml:space="preserve">une superficie de </w:t>
      </w:r>
      <w:r w:rsidR="00BD7B1A" w:rsidRPr="008F654B">
        <w:rPr>
          <w:rFonts w:ascii="Times New Roman" w:hAnsi="Times New Roman"/>
          <w:bCs/>
          <w:sz w:val="26"/>
          <w:szCs w:val="26"/>
        </w:rPr>
        <w:t>quarante-deux mille (42 000)</w:t>
      </w:r>
      <w:r w:rsidR="0054271E" w:rsidRPr="008F654B">
        <w:rPr>
          <w:rFonts w:ascii="Times New Roman" w:hAnsi="Times New Roman"/>
          <w:bCs/>
          <w:sz w:val="26"/>
          <w:szCs w:val="26"/>
        </w:rPr>
        <w:t xml:space="preserve"> hectares.</w:t>
      </w:r>
    </w:p>
    <w:p w:rsidR="00BD7B1A" w:rsidRPr="008F654B" w:rsidRDefault="00BD7B1A" w:rsidP="00BD7B1A">
      <w:pPr>
        <w:pStyle w:val="Corpsdetexte"/>
        <w:keepNext w:val="0"/>
        <w:keepLines w:val="0"/>
        <w:widowControl/>
        <w:ind w:left="0"/>
        <w:rPr>
          <w:rFonts w:ascii="Times New Roman" w:hAnsi="Times New Roman"/>
          <w:b w:val="0"/>
          <w:bCs/>
          <w:sz w:val="26"/>
          <w:szCs w:val="26"/>
          <w:u w:val="single"/>
        </w:rPr>
      </w:pPr>
      <w:r w:rsidRPr="008F654B">
        <w:rPr>
          <w:rFonts w:ascii="Times New Roman" w:hAnsi="Times New Roman"/>
          <w:bCs/>
          <w:sz w:val="26"/>
          <w:szCs w:val="26"/>
          <w:u w:val="single"/>
        </w:rPr>
        <w:t>Ces herbicides liquides de prélevée coton sont à livrer au Magasin central de Bobo</w:t>
      </w:r>
      <w:r w:rsidRPr="008F654B">
        <w:rPr>
          <w:rFonts w:ascii="Times New Roman" w:hAnsi="Times New Roman"/>
          <w:b w:val="0"/>
          <w:bCs/>
          <w:sz w:val="26"/>
          <w:szCs w:val="26"/>
          <w:u w:val="single"/>
        </w:rPr>
        <w:t>.</w:t>
      </w:r>
    </w:p>
    <w:p w:rsidR="00BD7B1A" w:rsidRPr="008F654B" w:rsidRDefault="00BD7B1A" w:rsidP="00BD7B1A">
      <w:pPr>
        <w:tabs>
          <w:tab w:val="left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B3B4F" w:rsidRPr="008F654B" w:rsidRDefault="00BD7B1A" w:rsidP="008F654B">
      <w:pPr>
        <w:pStyle w:val="Paragraphedeliste"/>
        <w:widowControl w:val="0"/>
        <w:numPr>
          <w:ilvl w:val="1"/>
          <w:numId w:val="5"/>
        </w:numPr>
        <w:tabs>
          <w:tab w:val="left" w:pos="709"/>
          <w:tab w:val="left" w:pos="2835"/>
        </w:tabs>
        <w:spacing w:before="240" w:after="120" w:line="240" w:lineRule="auto"/>
        <w:ind w:left="709" w:hanging="425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br w:type="page"/>
      </w:r>
      <w:r w:rsidRPr="008F654B">
        <w:rPr>
          <w:rFonts w:ascii="Times New Roman" w:hAnsi="Times New Roman"/>
          <w:b/>
          <w:bCs/>
          <w:i/>
          <w:sz w:val="26"/>
          <w:szCs w:val="26"/>
        </w:rPr>
        <w:t xml:space="preserve"> Herbicides liquides de post-levée coton (lots HP-01 à HP-11)</w:t>
      </w:r>
    </w:p>
    <w:p w:rsidR="00BD7B1A" w:rsidRPr="008F654B" w:rsidRDefault="009B7DFB" w:rsidP="00BD7B1A">
      <w:pPr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8F654B">
        <w:rPr>
          <w:rFonts w:ascii="Times New Roman" w:hAnsi="Times New Roman"/>
          <w:bCs/>
          <w:sz w:val="26"/>
          <w:szCs w:val="26"/>
        </w:rPr>
        <w:t>Ces herbicides, destinés à couvrir une superficie de</w:t>
      </w:r>
      <w:r w:rsidR="00BD7B1A" w:rsidRPr="008F654B">
        <w:rPr>
          <w:rFonts w:ascii="Times New Roman" w:hAnsi="Times New Roman"/>
          <w:bCs/>
          <w:sz w:val="26"/>
          <w:szCs w:val="26"/>
        </w:rPr>
        <w:t xml:space="preserve"> </w:t>
      </w:r>
      <w:r w:rsidR="00BD7B1A" w:rsidRPr="008F654B">
        <w:rPr>
          <w:rFonts w:ascii="Times New Roman" w:hAnsi="Times New Roman"/>
          <w:b/>
          <w:bCs/>
          <w:sz w:val="26"/>
          <w:szCs w:val="26"/>
        </w:rPr>
        <w:t>quatre-vingt-quinze mille (95 000) hectares</w:t>
      </w:r>
      <w:r w:rsidR="001E21D5" w:rsidRPr="008F654B">
        <w:rPr>
          <w:rFonts w:ascii="Times New Roman" w:hAnsi="Times New Roman"/>
          <w:bCs/>
          <w:sz w:val="26"/>
          <w:szCs w:val="26"/>
        </w:rPr>
        <w:t>, sont</w:t>
      </w:r>
      <w:r w:rsidR="00BD7B1A" w:rsidRPr="008F654B">
        <w:rPr>
          <w:rFonts w:ascii="Times New Roman" w:hAnsi="Times New Roman"/>
          <w:bCs/>
          <w:sz w:val="26"/>
          <w:szCs w:val="26"/>
        </w:rPr>
        <w:t xml:space="preserve"> à livrer selon les destinations indiquées dans le tableau ci-dessous. Selon les doses à l’hectare, les quantités (en litres) à fournir sont les suivantes (tableau 5) :</w:t>
      </w:r>
    </w:p>
    <w:p w:rsidR="00BD7B1A" w:rsidRPr="008F654B" w:rsidRDefault="00BD7B1A" w:rsidP="00BD7B1A">
      <w:pPr>
        <w:tabs>
          <w:tab w:val="left" w:pos="0"/>
        </w:tabs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8F654B">
        <w:rPr>
          <w:rFonts w:ascii="Times New Roman" w:hAnsi="Times New Roman"/>
          <w:b/>
          <w:bCs/>
          <w:sz w:val="26"/>
          <w:szCs w:val="26"/>
          <w:u w:val="single"/>
        </w:rPr>
        <w:t>Tableau 5 :</w:t>
      </w:r>
      <w:r w:rsidRPr="008F65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F654B">
        <w:rPr>
          <w:rFonts w:ascii="Times New Roman" w:hAnsi="Times New Roman"/>
          <w:bCs/>
          <w:sz w:val="26"/>
          <w:szCs w:val="26"/>
        </w:rPr>
        <w:t>Lot HP - herbicides de post-levée coton</w:t>
      </w:r>
    </w:p>
    <w:p w:rsidR="00BD7B1A" w:rsidRDefault="00BD7B1A" w:rsidP="00BD7B1A">
      <w:pPr>
        <w:tabs>
          <w:tab w:val="left" w:pos="0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D522B">
        <w:rPr>
          <w:noProof/>
        </w:rPr>
        <w:drawing>
          <wp:inline distT="0" distB="0" distL="0" distR="0">
            <wp:extent cx="5937885" cy="284289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A" w:rsidRDefault="00BD7B1A" w:rsidP="00BD7B1A">
      <w:pPr>
        <w:tabs>
          <w:tab w:val="left" w:pos="567"/>
        </w:tabs>
        <w:spacing w:before="240" w:after="120"/>
        <w:ind w:left="567" w:hanging="567"/>
        <w:jc w:val="both"/>
        <w:rPr>
          <w:rFonts w:ascii="Times New Roman" w:hAnsi="Times New Roman"/>
          <w:b/>
          <w:bCs/>
        </w:rPr>
      </w:pPr>
      <w:r w:rsidRPr="0054271E">
        <w:rPr>
          <w:rFonts w:ascii="Times New Roman" w:hAnsi="Times New Roman"/>
          <w:b/>
          <w:bCs/>
          <w:u w:val="single"/>
        </w:rPr>
        <w:t>NB</w:t>
      </w:r>
      <w:r w:rsidRPr="0054271E">
        <w:rPr>
          <w:rFonts w:ascii="Times New Roman" w:hAnsi="Times New Roman"/>
          <w:b/>
          <w:bCs/>
        </w:rPr>
        <w:t> :</w:t>
      </w:r>
      <w:r w:rsidRPr="008F3E87">
        <w:rPr>
          <w:rFonts w:ascii="Times New Roman" w:hAnsi="Times New Roman"/>
          <w:b/>
          <w:bCs/>
        </w:rPr>
        <w:t xml:space="preserve"> </w:t>
      </w:r>
      <w:r w:rsidRPr="0054271E">
        <w:rPr>
          <w:rFonts w:ascii="Times New Roman" w:hAnsi="Times New Roman"/>
          <w:bCs/>
        </w:rPr>
        <w:t>Pour les herbicides post-levée utilisés à une autre dose/ha, considérer la superficie à couvrir de 95 000 hectares pour la détermination des quantités en litre.</w:t>
      </w:r>
    </w:p>
    <w:p w:rsidR="00BD7B1A" w:rsidRPr="008F654B" w:rsidRDefault="00BD7B1A" w:rsidP="00734495">
      <w:pPr>
        <w:pStyle w:val="Titre4"/>
        <w:numPr>
          <w:ilvl w:val="0"/>
          <w:numId w:val="5"/>
        </w:numPr>
        <w:tabs>
          <w:tab w:val="clear" w:pos="2410"/>
          <w:tab w:val="clear" w:pos="2835"/>
          <w:tab w:val="left" w:pos="0"/>
        </w:tabs>
        <w:spacing w:after="120"/>
        <w:ind w:left="425" w:hanging="357"/>
        <w:jc w:val="both"/>
        <w:rPr>
          <w:rFonts w:ascii="Times New Roman" w:hAnsi="Times New Roman"/>
          <w:b/>
          <w:i w:val="0"/>
          <w:sz w:val="26"/>
          <w:szCs w:val="26"/>
          <w:u w:val="single"/>
        </w:rPr>
      </w:pPr>
      <w:bookmarkStart w:id="5" w:name="_Toc109048899"/>
      <w:r w:rsidRPr="008F654B">
        <w:rPr>
          <w:rFonts w:ascii="Times New Roman" w:hAnsi="Times New Roman"/>
          <w:b/>
          <w:i w:val="0"/>
          <w:sz w:val="26"/>
          <w:szCs w:val="26"/>
          <w:u w:val="single"/>
        </w:rPr>
        <w:t>Régulateurs de croissance du cotonnier</w:t>
      </w:r>
      <w:bookmarkEnd w:id="5"/>
      <w:r w:rsidRPr="008F654B">
        <w:rPr>
          <w:rFonts w:ascii="Times New Roman" w:hAnsi="Times New Roman"/>
          <w:b/>
          <w:i w:val="0"/>
          <w:sz w:val="26"/>
          <w:szCs w:val="26"/>
          <w:u w:val="single"/>
        </w:rPr>
        <w:t xml:space="preserve"> </w:t>
      </w:r>
      <w:r w:rsidR="0054271E" w:rsidRPr="008F654B">
        <w:rPr>
          <w:rFonts w:ascii="Times New Roman" w:hAnsi="Times New Roman"/>
          <w:b/>
          <w:i w:val="0"/>
          <w:sz w:val="26"/>
          <w:szCs w:val="26"/>
          <w:u w:val="single"/>
        </w:rPr>
        <w:t>(lots RCC-01 à RCC-15)</w:t>
      </w:r>
    </w:p>
    <w:p w:rsidR="00BD7B1A" w:rsidRPr="008F654B" w:rsidRDefault="00BD7B1A" w:rsidP="00BD7B1A">
      <w:pPr>
        <w:tabs>
          <w:tab w:val="left" w:pos="0"/>
        </w:tabs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8F654B">
        <w:rPr>
          <w:rFonts w:ascii="Times New Roman" w:hAnsi="Times New Roman"/>
          <w:bCs/>
          <w:sz w:val="26"/>
          <w:szCs w:val="26"/>
        </w:rPr>
        <w:t xml:space="preserve">Les régulateurs de croissance du cotonnier à fournir sont destinés à couvrir </w:t>
      </w:r>
      <w:r w:rsidRPr="008F654B">
        <w:rPr>
          <w:rFonts w:ascii="Times New Roman" w:hAnsi="Times New Roman"/>
          <w:b/>
          <w:bCs/>
          <w:sz w:val="26"/>
          <w:szCs w:val="26"/>
        </w:rPr>
        <w:t xml:space="preserve">une superficie de soixante-trois mille (63 000) hectares </w:t>
      </w:r>
      <w:r w:rsidRPr="008F654B">
        <w:rPr>
          <w:rFonts w:ascii="Times New Roman" w:hAnsi="Times New Roman"/>
          <w:bCs/>
          <w:sz w:val="26"/>
          <w:szCs w:val="26"/>
        </w:rPr>
        <w:t>et devront être livr</w:t>
      </w:r>
      <w:r w:rsidR="001E21D5" w:rsidRPr="008F654B">
        <w:rPr>
          <w:rFonts w:ascii="Times New Roman" w:hAnsi="Times New Roman"/>
          <w:bCs/>
          <w:sz w:val="26"/>
          <w:szCs w:val="26"/>
        </w:rPr>
        <w:t>é</w:t>
      </w:r>
      <w:r w:rsidRPr="008F654B">
        <w:rPr>
          <w:rFonts w:ascii="Times New Roman" w:hAnsi="Times New Roman"/>
          <w:bCs/>
          <w:sz w:val="26"/>
          <w:szCs w:val="26"/>
        </w:rPr>
        <w:t>s selon les destinations indiquées dans le tableau 6 ci-dessous.</w:t>
      </w:r>
    </w:p>
    <w:p w:rsidR="00BD7B1A" w:rsidRPr="008F654B" w:rsidRDefault="00734495" w:rsidP="00BD7B1A">
      <w:pPr>
        <w:tabs>
          <w:tab w:val="left" w:pos="0"/>
        </w:tabs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8F654B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A7AFF1A" wp14:editId="3B997F35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5685155" cy="3134360"/>
            <wp:effectExtent l="0" t="0" r="0" b="8890"/>
            <wp:wrapTight wrapText="bothSides">
              <wp:wrapPolygon edited="0">
                <wp:start x="0" y="0"/>
                <wp:lineTo x="0" y="21530"/>
                <wp:lineTo x="17515" y="21530"/>
                <wp:lineTo x="20990" y="21005"/>
                <wp:lineTo x="21496" y="20086"/>
                <wp:lineTo x="21496" y="17592"/>
                <wp:lineTo x="19904" y="16804"/>
                <wp:lineTo x="21496" y="16673"/>
                <wp:lineTo x="21496" y="15229"/>
                <wp:lineTo x="20121" y="14703"/>
                <wp:lineTo x="21496" y="14310"/>
                <wp:lineTo x="21496" y="12865"/>
                <wp:lineTo x="19904" y="12603"/>
                <wp:lineTo x="21496" y="11815"/>
                <wp:lineTo x="21496" y="9190"/>
                <wp:lineTo x="19904" y="8402"/>
                <wp:lineTo x="21496" y="8271"/>
                <wp:lineTo x="21496" y="6827"/>
                <wp:lineTo x="20121" y="6301"/>
                <wp:lineTo x="21496" y="5908"/>
                <wp:lineTo x="21496" y="4464"/>
                <wp:lineTo x="20193" y="4201"/>
                <wp:lineTo x="21496" y="3545"/>
                <wp:lineTo x="2149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1A" w:rsidRPr="008F654B">
        <w:rPr>
          <w:rFonts w:ascii="Times New Roman" w:hAnsi="Times New Roman"/>
          <w:b/>
          <w:bCs/>
          <w:sz w:val="26"/>
          <w:szCs w:val="26"/>
          <w:u w:val="single"/>
        </w:rPr>
        <w:t>Tableau 6 :</w:t>
      </w:r>
      <w:r w:rsidR="00BD7B1A" w:rsidRPr="008F65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D7B1A" w:rsidRPr="008F654B">
        <w:rPr>
          <w:rFonts w:ascii="Times New Roman" w:hAnsi="Times New Roman"/>
          <w:bCs/>
          <w:sz w:val="26"/>
          <w:szCs w:val="26"/>
        </w:rPr>
        <w:t>Lot RCC – Régulateurs de croissance du cotonnier</w:t>
      </w:r>
    </w:p>
    <w:p w:rsidR="00BD7B1A" w:rsidRDefault="00BD7B1A" w:rsidP="00BD7B1A">
      <w:pPr>
        <w:tabs>
          <w:tab w:val="left" w:pos="0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B1A" w:rsidRPr="001E7843" w:rsidRDefault="00BD7B1A" w:rsidP="00734495">
      <w:pPr>
        <w:pStyle w:val="Titre4"/>
        <w:numPr>
          <w:ilvl w:val="0"/>
          <w:numId w:val="5"/>
        </w:numPr>
        <w:tabs>
          <w:tab w:val="clear" w:pos="2410"/>
          <w:tab w:val="clear" w:pos="2835"/>
          <w:tab w:val="left" w:pos="0"/>
        </w:tabs>
        <w:spacing w:after="120"/>
        <w:ind w:left="425" w:hanging="357"/>
        <w:jc w:val="both"/>
        <w:rPr>
          <w:rFonts w:ascii="Times New Roman" w:hAnsi="Times New Roman"/>
          <w:b/>
          <w:i w:val="0"/>
          <w:sz w:val="26"/>
          <w:szCs w:val="26"/>
          <w:u w:val="single"/>
        </w:rPr>
      </w:pPr>
      <w:bookmarkStart w:id="6" w:name="_Toc109048900"/>
      <w:r w:rsidRPr="001E7843">
        <w:rPr>
          <w:rFonts w:ascii="Times New Roman" w:hAnsi="Times New Roman"/>
          <w:b/>
          <w:i w:val="0"/>
          <w:sz w:val="26"/>
          <w:szCs w:val="26"/>
          <w:u w:val="single"/>
        </w:rPr>
        <w:t>Appareils de traitement</w:t>
      </w:r>
      <w:bookmarkEnd w:id="6"/>
    </w:p>
    <w:p w:rsidR="00BD7B1A" w:rsidRPr="001E7843" w:rsidRDefault="00BD7B1A" w:rsidP="00BD7B1A">
      <w:pPr>
        <w:pStyle w:val="TM2"/>
        <w:ind w:left="0"/>
        <w:jc w:val="both"/>
        <w:rPr>
          <w:rFonts w:ascii="Times New Roman" w:hAnsi="Times New Roman"/>
          <w:b w:val="0"/>
          <w:smallCaps w:val="0"/>
          <w:sz w:val="26"/>
          <w:szCs w:val="26"/>
        </w:rPr>
      </w:pPr>
      <w:r w:rsidRPr="001E7843">
        <w:rPr>
          <w:rFonts w:ascii="Times New Roman" w:hAnsi="Times New Roman"/>
          <w:b w:val="0"/>
          <w:smallCaps w:val="0"/>
          <w:sz w:val="26"/>
          <w:szCs w:val="26"/>
        </w:rPr>
        <w:t>Le nombre d’appareils de traitement prévus par le présent appel d’offres se répartit comme suit :</w:t>
      </w:r>
    </w:p>
    <w:p w:rsidR="00BD7B1A" w:rsidRPr="001E7843" w:rsidRDefault="00BD7B1A" w:rsidP="00BD7B1A">
      <w:pPr>
        <w:pStyle w:val="pucest"/>
        <w:numPr>
          <w:ilvl w:val="0"/>
          <w:numId w:val="3"/>
        </w:numPr>
        <w:tabs>
          <w:tab w:val="clear" w:pos="851"/>
          <w:tab w:val="clear" w:pos="2835"/>
          <w:tab w:val="left" w:pos="709"/>
        </w:tabs>
        <w:ind w:left="709" w:hanging="425"/>
        <w:rPr>
          <w:rFonts w:ascii="Times New Roman" w:hAnsi="Times New Roman"/>
          <w:b w:val="0"/>
          <w:bCs/>
          <w:sz w:val="26"/>
          <w:szCs w:val="26"/>
        </w:rPr>
      </w:pPr>
      <w:r w:rsidRPr="001E7843">
        <w:rPr>
          <w:rFonts w:ascii="Times New Roman" w:hAnsi="Times New Roman"/>
          <w:bCs/>
          <w:sz w:val="26"/>
          <w:szCs w:val="26"/>
        </w:rPr>
        <w:t>Appareils pulvérisateurs à dos à pression entretenue (lots ABV-01 à ABV-16</w:t>
      </w:r>
      <w:r w:rsidRPr="001E7843">
        <w:rPr>
          <w:rFonts w:ascii="Times New Roman" w:hAnsi="Times New Roman"/>
          <w:b w:val="0"/>
          <w:bCs/>
          <w:sz w:val="26"/>
          <w:szCs w:val="26"/>
        </w:rPr>
        <w:t xml:space="preserve"> figurant au tableau 7) munis d’une lance ou d’une rampe horizontale pour traitement Bas Volume (BV) : </w:t>
      </w:r>
      <w:r w:rsidRPr="001E7843">
        <w:rPr>
          <w:rFonts w:ascii="Times New Roman" w:hAnsi="Times New Roman"/>
          <w:bCs/>
          <w:sz w:val="26"/>
          <w:szCs w:val="26"/>
        </w:rPr>
        <w:t>soixante-deux mille cinq cent (</w:t>
      </w:r>
      <w:r w:rsidRPr="001E7843">
        <w:rPr>
          <w:rFonts w:ascii="Times New Roman" w:hAnsi="Times New Roman"/>
          <w:sz w:val="26"/>
          <w:szCs w:val="26"/>
        </w:rPr>
        <w:t>62 500</w:t>
      </w:r>
      <w:r w:rsidRPr="001E7843">
        <w:rPr>
          <w:rFonts w:ascii="Times New Roman" w:hAnsi="Times New Roman"/>
          <w:bCs/>
          <w:sz w:val="26"/>
          <w:szCs w:val="26"/>
        </w:rPr>
        <w:t xml:space="preserve">) </w:t>
      </w:r>
      <w:r w:rsidRPr="001E7843">
        <w:rPr>
          <w:rFonts w:ascii="Times New Roman" w:hAnsi="Times New Roman"/>
          <w:sz w:val="26"/>
          <w:szCs w:val="26"/>
        </w:rPr>
        <w:t>pièces</w:t>
      </w:r>
      <w:r w:rsidRPr="001E7843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BD7B1A" w:rsidRPr="001E7843" w:rsidRDefault="00BD7B1A" w:rsidP="00BD7B1A">
      <w:pPr>
        <w:pStyle w:val="pucest"/>
        <w:tabs>
          <w:tab w:val="clear" w:pos="851"/>
          <w:tab w:val="clear" w:pos="2835"/>
          <w:tab w:val="left" w:pos="709"/>
        </w:tabs>
        <w:rPr>
          <w:rFonts w:ascii="Times New Roman" w:hAnsi="Times New Roman"/>
          <w:b w:val="0"/>
          <w:bCs/>
          <w:sz w:val="26"/>
          <w:szCs w:val="26"/>
          <w:u w:val="single"/>
        </w:rPr>
      </w:pPr>
      <w:r w:rsidRPr="001E7843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327025</wp:posOffset>
            </wp:positionV>
            <wp:extent cx="5785485" cy="4245610"/>
            <wp:effectExtent l="0" t="0" r="5715" b="2540"/>
            <wp:wrapTight wrapText="bothSides">
              <wp:wrapPolygon edited="0">
                <wp:start x="0" y="0"/>
                <wp:lineTo x="0" y="21516"/>
                <wp:lineTo x="16714" y="21516"/>
                <wp:lineTo x="19203" y="21419"/>
                <wp:lineTo x="21550" y="20838"/>
                <wp:lineTo x="21550" y="19093"/>
                <wp:lineTo x="21408" y="18996"/>
                <wp:lineTo x="19772" y="18608"/>
                <wp:lineTo x="21550" y="18027"/>
                <wp:lineTo x="21550" y="14441"/>
                <wp:lineTo x="19772" y="13956"/>
                <wp:lineTo x="21550" y="13472"/>
                <wp:lineTo x="21479" y="12793"/>
                <wp:lineTo x="16714" y="12406"/>
                <wp:lineTo x="21550" y="12406"/>
                <wp:lineTo x="21550" y="11049"/>
                <wp:lineTo x="19772" y="10855"/>
                <wp:lineTo x="21550" y="10080"/>
                <wp:lineTo x="21550" y="9886"/>
                <wp:lineTo x="19701" y="9304"/>
                <wp:lineTo x="21052" y="9304"/>
                <wp:lineTo x="21550" y="8917"/>
                <wp:lineTo x="21550" y="6590"/>
                <wp:lineTo x="21408" y="6494"/>
                <wp:lineTo x="19772" y="6203"/>
                <wp:lineTo x="21550" y="5621"/>
                <wp:lineTo x="21550" y="3101"/>
                <wp:lineTo x="21195" y="3101"/>
                <wp:lineTo x="21550" y="2132"/>
                <wp:lineTo x="21195" y="1551"/>
                <wp:lineTo x="2155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843">
        <w:rPr>
          <w:rFonts w:ascii="Times New Roman" w:hAnsi="Times New Roman"/>
          <w:bCs/>
          <w:sz w:val="26"/>
          <w:szCs w:val="26"/>
          <w:u w:val="single"/>
        </w:rPr>
        <w:t>Tableau 7</w:t>
      </w:r>
      <w:r w:rsidRPr="001E7843">
        <w:rPr>
          <w:rFonts w:ascii="Times New Roman" w:hAnsi="Times New Roman"/>
          <w:b w:val="0"/>
          <w:bCs/>
          <w:sz w:val="26"/>
          <w:szCs w:val="26"/>
          <w:u w:val="single"/>
        </w:rPr>
        <w:t> </w:t>
      </w:r>
      <w:r w:rsidRPr="001E7843">
        <w:rPr>
          <w:rFonts w:ascii="Times New Roman" w:hAnsi="Times New Roman"/>
          <w:b w:val="0"/>
          <w:bCs/>
          <w:sz w:val="26"/>
          <w:szCs w:val="26"/>
        </w:rPr>
        <w:t>: Lot ABV - Appareils de traitement BV à pression entretenue</w:t>
      </w:r>
      <w:r w:rsidRPr="001E7843">
        <w:rPr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</w:p>
    <w:p w:rsidR="00BD7B1A" w:rsidRPr="001E7843" w:rsidRDefault="00BD7B1A" w:rsidP="00BD7B1A">
      <w:pPr>
        <w:pStyle w:val="pucest"/>
        <w:tabs>
          <w:tab w:val="clear" w:pos="851"/>
          <w:tab w:val="clear" w:pos="2835"/>
          <w:tab w:val="left" w:pos="709"/>
        </w:tabs>
        <w:rPr>
          <w:rFonts w:ascii="Times New Roman" w:hAnsi="Times New Roman"/>
          <w:b w:val="0"/>
          <w:bCs/>
          <w:sz w:val="26"/>
          <w:szCs w:val="26"/>
          <w:u w:val="single"/>
        </w:rPr>
      </w:pPr>
    </w:p>
    <w:p w:rsidR="00BD7B1A" w:rsidRPr="001E7843" w:rsidRDefault="00BD7B1A" w:rsidP="00BD7B1A">
      <w:pPr>
        <w:pStyle w:val="pucest"/>
        <w:numPr>
          <w:ilvl w:val="0"/>
          <w:numId w:val="3"/>
        </w:numPr>
        <w:tabs>
          <w:tab w:val="clear" w:pos="851"/>
          <w:tab w:val="clear" w:pos="2835"/>
          <w:tab w:val="left" w:pos="709"/>
        </w:tabs>
        <w:ind w:left="709" w:hanging="425"/>
        <w:rPr>
          <w:rFonts w:ascii="Times New Roman" w:hAnsi="Times New Roman"/>
          <w:b w:val="0"/>
          <w:bCs/>
          <w:sz w:val="26"/>
          <w:szCs w:val="26"/>
        </w:rPr>
      </w:pPr>
      <w:r w:rsidRPr="001E7843">
        <w:rPr>
          <w:rFonts w:ascii="Times New Roman" w:hAnsi="Times New Roman"/>
          <w:bCs/>
          <w:sz w:val="26"/>
          <w:szCs w:val="26"/>
        </w:rPr>
        <w:t xml:space="preserve">Appareils pulvérisateurs à piles ou à batterie rechargeable (lot ATBV) </w:t>
      </w:r>
      <w:r w:rsidRPr="001E7843">
        <w:rPr>
          <w:rFonts w:ascii="Times New Roman" w:hAnsi="Times New Roman"/>
          <w:b w:val="0"/>
          <w:bCs/>
          <w:sz w:val="26"/>
          <w:szCs w:val="26"/>
        </w:rPr>
        <w:t xml:space="preserve">pour traitement Très Bas Volume (TBV) : </w:t>
      </w:r>
      <w:r w:rsidRPr="001E7843">
        <w:rPr>
          <w:rFonts w:ascii="Times New Roman" w:hAnsi="Times New Roman"/>
          <w:bCs/>
          <w:sz w:val="26"/>
          <w:szCs w:val="26"/>
        </w:rPr>
        <w:t>trois cent (300) pièces.</w:t>
      </w:r>
    </w:p>
    <w:p w:rsidR="00BD7B1A" w:rsidRPr="001E7843" w:rsidRDefault="00BD7B1A" w:rsidP="00BD7B1A">
      <w:pPr>
        <w:pStyle w:val="pucest"/>
        <w:numPr>
          <w:ilvl w:val="0"/>
          <w:numId w:val="3"/>
        </w:numPr>
        <w:tabs>
          <w:tab w:val="clear" w:pos="851"/>
          <w:tab w:val="clear" w:pos="2835"/>
          <w:tab w:val="left" w:pos="709"/>
        </w:tabs>
        <w:ind w:left="709" w:hanging="425"/>
        <w:rPr>
          <w:rFonts w:ascii="Times New Roman" w:hAnsi="Times New Roman"/>
          <w:bCs/>
          <w:sz w:val="26"/>
          <w:szCs w:val="26"/>
        </w:rPr>
      </w:pPr>
      <w:r w:rsidRPr="001E7843">
        <w:rPr>
          <w:rFonts w:ascii="Times New Roman" w:hAnsi="Times New Roman"/>
          <w:bCs/>
          <w:sz w:val="26"/>
          <w:szCs w:val="26"/>
        </w:rPr>
        <w:t>Appareils à moteur ou atomiseurs (lot AAT) pour traitement Bas Volume : deux cent (200) pièces.</w:t>
      </w:r>
    </w:p>
    <w:p w:rsidR="00BD7B1A" w:rsidRPr="001E7843" w:rsidRDefault="00BD7B1A" w:rsidP="009B7DFB">
      <w:pPr>
        <w:pStyle w:val="pucest"/>
        <w:tabs>
          <w:tab w:val="clear" w:pos="851"/>
          <w:tab w:val="clear" w:pos="2835"/>
          <w:tab w:val="left" w:pos="709"/>
        </w:tabs>
        <w:spacing w:before="240" w:after="120"/>
        <w:ind w:left="0" w:firstLine="0"/>
        <w:rPr>
          <w:rFonts w:ascii="Times New Roman" w:hAnsi="Times New Roman"/>
          <w:bCs/>
          <w:sz w:val="26"/>
          <w:szCs w:val="26"/>
          <w:u w:val="single"/>
        </w:rPr>
      </w:pPr>
      <w:r w:rsidRPr="001E7843">
        <w:rPr>
          <w:rFonts w:ascii="Times New Roman" w:hAnsi="Times New Roman"/>
          <w:bCs/>
          <w:sz w:val="26"/>
          <w:szCs w:val="26"/>
          <w:u w:val="single"/>
        </w:rPr>
        <w:t>Les appareils de traitement à piles ou à batterie rechargeable (lot ATBV) et les atomiseurs (lot AAT) doivent être livrés au magasin central de la SOFITEX à Bobo-Dioulasso.</w:t>
      </w:r>
    </w:p>
    <w:bookmarkEnd w:id="2"/>
    <w:bookmarkEnd w:id="3"/>
    <w:p w:rsidR="00EB5629" w:rsidRPr="001E7843" w:rsidRDefault="00EB5629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D7B1A" w:rsidRPr="001E7843" w:rsidRDefault="00BD7B1A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D7B1A" w:rsidRPr="001E7843" w:rsidRDefault="00BD7B1A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24E0F" w:rsidRDefault="00724E0F" w:rsidP="00724E0F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6C717A" w:rsidRDefault="006C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24E0F" w:rsidRPr="001E7843" w:rsidRDefault="00D767FA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E7843">
        <w:rPr>
          <w:rFonts w:ascii="Times New Roman" w:hAnsi="Times New Roman" w:cs="Times New Roman"/>
          <w:sz w:val="26"/>
          <w:szCs w:val="26"/>
        </w:rPr>
        <w:t>Les cotations de chaque S</w:t>
      </w:r>
      <w:r w:rsidR="00724E0F" w:rsidRPr="001E7843">
        <w:rPr>
          <w:rFonts w:ascii="Times New Roman" w:hAnsi="Times New Roman" w:cs="Times New Roman"/>
          <w:sz w:val="26"/>
          <w:szCs w:val="26"/>
        </w:rPr>
        <w:t>o</w:t>
      </w:r>
      <w:r w:rsidR="0065799E" w:rsidRPr="001E7843">
        <w:rPr>
          <w:rFonts w:ascii="Times New Roman" w:hAnsi="Times New Roman" w:cs="Times New Roman"/>
          <w:sz w:val="26"/>
          <w:szCs w:val="26"/>
        </w:rPr>
        <w:t>umissionnaire, libellées en F CF</w:t>
      </w:r>
      <w:r w:rsidR="00724E0F" w:rsidRPr="001E7843">
        <w:rPr>
          <w:rFonts w:ascii="Times New Roman" w:hAnsi="Times New Roman" w:cs="Times New Roman"/>
          <w:sz w:val="26"/>
          <w:szCs w:val="26"/>
        </w:rPr>
        <w:t xml:space="preserve">A ou en Euro doivent être accompagnées des pièces contractuelles exigées dans le Dossier d'Appel d'Offres, ainsi que du reçu de paiement. </w:t>
      </w:r>
    </w:p>
    <w:p w:rsidR="00724E0F" w:rsidRPr="001E7843" w:rsidRDefault="00724E0F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E7843">
        <w:rPr>
          <w:rFonts w:ascii="Times New Roman" w:hAnsi="Times New Roman" w:cs="Times New Roman"/>
          <w:sz w:val="26"/>
          <w:szCs w:val="26"/>
        </w:rPr>
        <w:t xml:space="preserve">Les offres des soumissionnaires, sous plis fermés, doivent parvenir au secrétariat de la Direction </w:t>
      </w:r>
      <w:r w:rsidR="0065799E" w:rsidRPr="001E7843">
        <w:rPr>
          <w:rFonts w:ascii="Times New Roman" w:hAnsi="Times New Roman" w:cs="Times New Roman"/>
          <w:sz w:val="26"/>
          <w:szCs w:val="26"/>
        </w:rPr>
        <w:t>G</w:t>
      </w:r>
      <w:r w:rsidRPr="001E7843">
        <w:rPr>
          <w:rFonts w:ascii="Times New Roman" w:hAnsi="Times New Roman" w:cs="Times New Roman"/>
          <w:sz w:val="26"/>
          <w:szCs w:val="26"/>
        </w:rPr>
        <w:t xml:space="preserve">énérale de la SOFITEX, au plus tard le </w:t>
      </w:r>
      <w:r w:rsidR="000B4B51" w:rsidRPr="00B23ED6">
        <w:rPr>
          <w:rFonts w:ascii="Times New Roman" w:hAnsi="Times New Roman" w:cs="Times New Roman"/>
          <w:b/>
          <w:sz w:val="26"/>
          <w:szCs w:val="26"/>
        </w:rPr>
        <w:t xml:space="preserve">03 novembre </w:t>
      </w:r>
      <w:r w:rsidRPr="00B23ED6">
        <w:rPr>
          <w:rFonts w:ascii="Times New Roman" w:hAnsi="Times New Roman" w:cs="Times New Roman"/>
          <w:b/>
          <w:sz w:val="26"/>
          <w:szCs w:val="26"/>
        </w:rPr>
        <w:t>202</w:t>
      </w:r>
      <w:r w:rsidR="00EB5629" w:rsidRPr="00B23ED6">
        <w:rPr>
          <w:rFonts w:ascii="Times New Roman" w:hAnsi="Times New Roman" w:cs="Times New Roman"/>
          <w:b/>
          <w:sz w:val="26"/>
          <w:szCs w:val="26"/>
        </w:rPr>
        <w:t>2</w:t>
      </w:r>
      <w:r w:rsidRPr="00B23ED6">
        <w:rPr>
          <w:rFonts w:ascii="Times New Roman" w:hAnsi="Times New Roman" w:cs="Times New Roman"/>
          <w:b/>
          <w:sz w:val="26"/>
          <w:szCs w:val="26"/>
        </w:rPr>
        <w:t xml:space="preserve"> à 08 heures 30 minutes</w:t>
      </w:r>
      <w:r w:rsidRPr="001E7843">
        <w:rPr>
          <w:rFonts w:ascii="Times New Roman" w:hAnsi="Times New Roman" w:cs="Times New Roman"/>
          <w:sz w:val="26"/>
          <w:szCs w:val="26"/>
        </w:rPr>
        <w:t xml:space="preserve">, contre la délivrance d'un récépissé de dépôt. </w:t>
      </w:r>
      <w:r w:rsidRPr="001E7843">
        <w:rPr>
          <w:rFonts w:ascii="Times New Roman" w:hAnsi="Times New Roman" w:cs="Times New Roman"/>
          <w:b/>
          <w:sz w:val="26"/>
          <w:szCs w:val="26"/>
        </w:rPr>
        <w:t>L'ouverture des plis aura lieu le même jour à 09 heures 30 minutes précises</w:t>
      </w:r>
      <w:r w:rsidRPr="001E7843">
        <w:rPr>
          <w:rFonts w:ascii="Times New Roman" w:hAnsi="Times New Roman" w:cs="Times New Roman"/>
          <w:sz w:val="26"/>
          <w:szCs w:val="26"/>
        </w:rPr>
        <w:t>, en présence des soumissionnaires ou de leurs r</w:t>
      </w:r>
      <w:r w:rsidR="0065799E" w:rsidRPr="001E7843">
        <w:rPr>
          <w:rFonts w:ascii="Times New Roman" w:hAnsi="Times New Roman" w:cs="Times New Roman"/>
          <w:sz w:val="26"/>
          <w:szCs w:val="26"/>
        </w:rPr>
        <w:t>eprésentants qui le souhaitent.</w:t>
      </w:r>
    </w:p>
    <w:p w:rsidR="00724E0F" w:rsidRPr="001E7843" w:rsidRDefault="00724E0F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7843">
        <w:rPr>
          <w:rFonts w:ascii="Times New Roman" w:hAnsi="Times New Roman" w:cs="Times New Roman"/>
          <w:sz w:val="26"/>
          <w:szCs w:val="26"/>
        </w:rPr>
        <w:t xml:space="preserve">La pièce de référence du présent avis d'appel d'offres est le </w:t>
      </w:r>
      <w:r w:rsidR="00C469F2" w:rsidRPr="001E7843">
        <w:rPr>
          <w:rFonts w:ascii="Times New Roman" w:hAnsi="Times New Roman" w:cs="Times New Roman"/>
          <w:sz w:val="26"/>
          <w:szCs w:val="26"/>
        </w:rPr>
        <w:t>D</w:t>
      </w:r>
      <w:r w:rsidRPr="001E7843">
        <w:rPr>
          <w:rFonts w:ascii="Times New Roman" w:hAnsi="Times New Roman" w:cs="Times New Roman"/>
          <w:sz w:val="26"/>
          <w:szCs w:val="26"/>
        </w:rPr>
        <w:t>ossier d'</w:t>
      </w:r>
      <w:r w:rsidR="00C469F2" w:rsidRPr="001E7843">
        <w:rPr>
          <w:rFonts w:ascii="Times New Roman" w:hAnsi="Times New Roman" w:cs="Times New Roman"/>
          <w:sz w:val="26"/>
          <w:szCs w:val="26"/>
        </w:rPr>
        <w:t>A</w:t>
      </w:r>
      <w:r w:rsidRPr="001E7843">
        <w:rPr>
          <w:rFonts w:ascii="Times New Roman" w:hAnsi="Times New Roman" w:cs="Times New Roman"/>
          <w:sz w:val="26"/>
          <w:szCs w:val="26"/>
        </w:rPr>
        <w:t>ppel d'</w:t>
      </w:r>
      <w:r w:rsidR="00C469F2" w:rsidRPr="001E7843">
        <w:rPr>
          <w:rFonts w:ascii="Times New Roman" w:hAnsi="Times New Roman" w:cs="Times New Roman"/>
          <w:sz w:val="26"/>
          <w:szCs w:val="26"/>
        </w:rPr>
        <w:t>O</w:t>
      </w:r>
      <w:r w:rsidRPr="001E7843">
        <w:rPr>
          <w:rFonts w:ascii="Times New Roman" w:hAnsi="Times New Roman" w:cs="Times New Roman"/>
          <w:sz w:val="26"/>
          <w:szCs w:val="26"/>
        </w:rPr>
        <w:t xml:space="preserve">ffres N° </w:t>
      </w:r>
      <w:r w:rsidR="00B23ED6">
        <w:rPr>
          <w:rFonts w:ascii="Times New Roman" w:hAnsi="Times New Roman" w:cs="Times New Roman"/>
          <w:sz w:val="26"/>
          <w:szCs w:val="26"/>
        </w:rPr>
        <w:t>2209001</w:t>
      </w:r>
      <w:r w:rsidRPr="001E7843">
        <w:rPr>
          <w:rFonts w:ascii="Times New Roman" w:hAnsi="Times New Roman" w:cs="Times New Roman"/>
          <w:sz w:val="26"/>
          <w:szCs w:val="26"/>
        </w:rPr>
        <w:t xml:space="preserve"> à télécharger sur le site internet de la SOFITEX </w:t>
      </w:r>
      <w:hyperlink r:id="rId14" w:history="1">
        <w:r w:rsidRPr="001E7843">
          <w:rPr>
            <w:rFonts w:ascii="Times New Roman" w:hAnsi="Times New Roman" w:cs="Times New Roman"/>
            <w:sz w:val="26"/>
            <w:szCs w:val="26"/>
          </w:rPr>
          <w:t>www.sofitex.bf.</w:t>
        </w:r>
      </w:hyperlink>
    </w:p>
    <w:p w:rsidR="00724E0F" w:rsidRPr="001E7843" w:rsidRDefault="00724E0F" w:rsidP="00EB5629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E7843">
        <w:rPr>
          <w:rFonts w:ascii="Times New Roman" w:hAnsi="Times New Roman" w:cs="Times New Roman"/>
          <w:b/>
          <w:sz w:val="26"/>
          <w:szCs w:val="26"/>
        </w:rPr>
        <w:t xml:space="preserve">Pour l'achat du Dossier d'Appel d'Offres, les soumissionnaires s'acquitteront de la somme de </w:t>
      </w:r>
      <w:r w:rsidR="00D3238B" w:rsidRPr="001E7843">
        <w:rPr>
          <w:rFonts w:ascii="Times New Roman" w:hAnsi="Times New Roman" w:cs="Times New Roman"/>
          <w:b/>
          <w:sz w:val="26"/>
          <w:szCs w:val="26"/>
        </w:rPr>
        <w:t xml:space="preserve">deux </w:t>
      </w:r>
      <w:r w:rsidRPr="001E7843">
        <w:rPr>
          <w:rFonts w:ascii="Times New Roman" w:hAnsi="Times New Roman" w:cs="Times New Roman"/>
          <w:b/>
          <w:sz w:val="26"/>
          <w:szCs w:val="26"/>
        </w:rPr>
        <w:t>million</w:t>
      </w:r>
      <w:r w:rsidR="00D3238B" w:rsidRPr="001E7843">
        <w:rPr>
          <w:rFonts w:ascii="Times New Roman" w:hAnsi="Times New Roman" w:cs="Times New Roman"/>
          <w:b/>
          <w:sz w:val="26"/>
          <w:szCs w:val="26"/>
        </w:rPr>
        <w:t>s</w:t>
      </w:r>
      <w:r w:rsidRPr="001E78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7843">
        <w:rPr>
          <w:rFonts w:ascii="Times New Roman" w:hAnsi="Times New Roman" w:cs="Times New Roman"/>
          <w:b/>
          <w:w w:val="106"/>
          <w:sz w:val="26"/>
          <w:szCs w:val="26"/>
        </w:rPr>
        <w:t>(</w:t>
      </w:r>
      <w:r w:rsidR="00D3238B" w:rsidRPr="001E7843">
        <w:rPr>
          <w:rFonts w:ascii="Times New Roman" w:hAnsi="Times New Roman" w:cs="Times New Roman"/>
          <w:b/>
          <w:w w:val="106"/>
          <w:sz w:val="26"/>
          <w:szCs w:val="26"/>
        </w:rPr>
        <w:t>2</w:t>
      </w:r>
      <w:r w:rsidR="00EB5629" w:rsidRPr="001E7843">
        <w:rPr>
          <w:rFonts w:ascii="Times New Roman" w:hAnsi="Times New Roman" w:cs="Times New Roman"/>
          <w:b/>
          <w:w w:val="106"/>
          <w:sz w:val="26"/>
          <w:szCs w:val="26"/>
        </w:rPr>
        <w:t> </w:t>
      </w:r>
      <w:r w:rsidR="00D3238B" w:rsidRPr="001E7843">
        <w:rPr>
          <w:rFonts w:ascii="Times New Roman" w:hAnsi="Times New Roman" w:cs="Times New Roman"/>
          <w:b/>
          <w:sz w:val="26"/>
          <w:szCs w:val="26"/>
        </w:rPr>
        <w:t>000</w:t>
      </w:r>
      <w:r w:rsidR="00EB5629" w:rsidRPr="001E7843">
        <w:rPr>
          <w:rFonts w:ascii="Times New Roman" w:hAnsi="Times New Roman" w:cs="Times New Roman"/>
          <w:b/>
          <w:sz w:val="26"/>
          <w:szCs w:val="26"/>
        </w:rPr>
        <w:t> </w:t>
      </w:r>
      <w:r w:rsidRPr="001E7843">
        <w:rPr>
          <w:rFonts w:ascii="Times New Roman" w:hAnsi="Times New Roman" w:cs="Times New Roman"/>
          <w:b/>
          <w:sz w:val="26"/>
          <w:szCs w:val="26"/>
        </w:rPr>
        <w:t>000) Francs CFA non remboursable</w:t>
      </w:r>
      <w:r w:rsidRPr="001E7843">
        <w:rPr>
          <w:rFonts w:ascii="Times New Roman" w:hAnsi="Times New Roman" w:cs="Times New Roman"/>
          <w:sz w:val="26"/>
          <w:szCs w:val="26"/>
        </w:rPr>
        <w:t xml:space="preserve">, à </w:t>
      </w:r>
      <w:r w:rsidR="00856050" w:rsidRPr="001E7843">
        <w:rPr>
          <w:rFonts w:ascii="Times New Roman" w:hAnsi="Times New Roman" w:cs="Times New Roman"/>
          <w:sz w:val="26"/>
          <w:szCs w:val="26"/>
        </w:rPr>
        <w:t xml:space="preserve">payer </w:t>
      </w:r>
      <w:r w:rsidRPr="001E7843">
        <w:rPr>
          <w:rFonts w:ascii="Times New Roman" w:hAnsi="Times New Roman" w:cs="Times New Roman"/>
          <w:sz w:val="26"/>
          <w:szCs w:val="26"/>
        </w:rPr>
        <w:t xml:space="preserve">à la caisse centrale de la SOFITEX, contre délivrance d'un reçu de paiement. </w:t>
      </w:r>
    </w:p>
    <w:p w:rsidR="00724E0F" w:rsidRPr="001E7843" w:rsidRDefault="00724E0F" w:rsidP="00C469F2">
      <w:pPr>
        <w:pStyle w:val="Style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41207" w:rsidRPr="001E7843" w:rsidRDefault="00724E0F" w:rsidP="00C469F2">
      <w:pPr>
        <w:pStyle w:val="Style"/>
        <w:spacing w:before="120" w:after="120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1E7843">
        <w:rPr>
          <w:rFonts w:ascii="Times New Roman" w:hAnsi="Times New Roman" w:cs="Times New Roman"/>
          <w:sz w:val="26"/>
          <w:szCs w:val="26"/>
        </w:rPr>
        <w:t>Le Directeur Généra</w:t>
      </w:r>
      <w:r w:rsidR="00E41207" w:rsidRPr="001E7843">
        <w:rPr>
          <w:rFonts w:ascii="Times New Roman" w:hAnsi="Times New Roman" w:cs="Times New Roman"/>
          <w:sz w:val="26"/>
          <w:szCs w:val="26"/>
        </w:rPr>
        <w:t>l</w:t>
      </w:r>
    </w:p>
    <w:p w:rsidR="00C469F2" w:rsidRPr="001E7843" w:rsidRDefault="00C469F2" w:rsidP="00C469F2">
      <w:pPr>
        <w:pStyle w:val="Style"/>
        <w:spacing w:before="120" w:after="120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724E0F" w:rsidRPr="001E7843" w:rsidRDefault="00E41207" w:rsidP="001E7843">
      <w:pPr>
        <w:pStyle w:val="Style"/>
        <w:spacing w:after="120"/>
        <w:ind w:left="566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7843">
        <w:rPr>
          <w:rFonts w:ascii="Times New Roman" w:hAnsi="Times New Roman" w:cs="Times New Roman"/>
          <w:b/>
          <w:sz w:val="26"/>
          <w:szCs w:val="26"/>
          <w:u w:val="single"/>
        </w:rPr>
        <w:t xml:space="preserve">Jonas </w:t>
      </w:r>
      <w:r w:rsidR="00C469F2" w:rsidRPr="001E7843">
        <w:rPr>
          <w:rFonts w:ascii="Times New Roman" w:hAnsi="Times New Roman" w:cs="Times New Roman"/>
          <w:b/>
          <w:sz w:val="26"/>
          <w:szCs w:val="26"/>
          <w:u w:val="single"/>
        </w:rPr>
        <w:t xml:space="preserve">Bobou </w:t>
      </w:r>
      <w:r w:rsidRPr="001E7843">
        <w:rPr>
          <w:rFonts w:ascii="Times New Roman" w:hAnsi="Times New Roman" w:cs="Times New Roman"/>
          <w:b/>
          <w:sz w:val="26"/>
          <w:szCs w:val="26"/>
          <w:u w:val="single"/>
        </w:rPr>
        <w:t>BAYOULOU</w:t>
      </w:r>
    </w:p>
    <w:p w:rsidR="00724E0F" w:rsidRPr="003A37C7" w:rsidRDefault="00724E0F" w:rsidP="00C469F2">
      <w:pPr>
        <w:pStyle w:val="Style"/>
        <w:ind w:left="4956" w:firstLine="708"/>
        <w:jc w:val="center"/>
        <w:rPr>
          <w:rFonts w:ascii="Times New Roman" w:hAnsi="Times New Roman" w:cs="Times New Roman"/>
          <w:i/>
          <w:w w:val="50"/>
          <w:sz w:val="20"/>
          <w:szCs w:val="20"/>
        </w:rPr>
      </w:pPr>
      <w:r w:rsidRPr="003A37C7">
        <w:rPr>
          <w:rFonts w:ascii="Times New Roman" w:hAnsi="Times New Roman" w:cs="Times New Roman"/>
          <w:i/>
          <w:sz w:val="22"/>
          <w:szCs w:val="22"/>
        </w:rPr>
        <w:t>Officier de l'Ordre de l'Etalon</w:t>
      </w:r>
    </w:p>
    <w:p w:rsidR="00055EF0" w:rsidRDefault="00055EF0"/>
    <w:sectPr w:rsidR="00055EF0" w:rsidSect="00D767FA">
      <w:footerReference w:type="default" r:id="rId15"/>
      <w:pgSz w:w="11907" w:h="16840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00" w:rsidRDefault="00D56100" w:rsidP="00EB5629">
      <w:pPr>
        <w:spacing w:after="0" w:line="240" w:lineRule="auto"/>
      </w:pPr>
      <w:r>
        <w:separator/>
      </w:r>
    </w:p>
  </w:endnote>
  <w:endnote w:type="continuationSeparator" w:id="0">
    <w:p w:rsidR="00D56100" w:rsidRDefault="00D56100" w:rsidP="00EB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9435"/>
      <w:docPartObj>
        <w:docPartGallery w:val="Page Numbers (Bottom of Page)"/>
        <w:docPartUnique/>
      </w:docPartObj>
    </w:sdtPr>
    <w:sdtEndPr/>
    <w:sdtContent>
      <w:p w:rsidR="00EB5629" w:rsidRDefault="00EB56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56">
          <w:rPr>
            <w:noProof/>
          </w:rPr>
          <w:t>8</w:t>
        </w:r>
        <w:r>
          <w:fldChar w:fldCharType="end"/>
        </w:r>
      </w:p>
    </w:sdtContent>
  </w:sdt>
  <w:p w:rsidR="00EB5629" w:rsidRDefault="00EB56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00" w:rsidRDefault="00D56100" w:rsidP="00EB5629">
      <w:pPr>
        <w:spacing w:after="0" w:line="240" w:lineRule="auto"/>
      </w:pPr>
      <w:r>
        <w:separator/>
      </w:r>
    </w:p>
  </w:footnote>
  <w:footnote w:type="continuationSeparator" w:id="0">
    <w:p w:rsidR="00D56100" w:rsidRDefault="00D56100" w:rsidP="00EB5629">
      <w:pPr>
        <w:spacing w:after="0" w:line="240" w:lineRule="auto"/>
      </w:pPr>
      <w:r>
        <w:continuationSeparator/>
      </w:r>
    </w:p>
  </w:footnote>
  <w:footnote w:id="1">
    <w:p w:rsidR="00BD7B1A" w:rsidRPr="00592610" w:rsidRDefault="00BD7B1A" w:rsidP="00BD7B1A">
      <w:pPr>
        <w:pStyle w:val="Notedebasdepage"/>
        <w:ind w:left="0"/>
        <w:rPr>
          <w:rFonts w:ascii="Times New Roman" w:hAnsi="Times New Roman"/>
        </w:rPr>
      </w:pPr>
      <w:r>
        <w:rPr>
          <w:rStyle w:val="Appelnotedebasdep"/>
          <w:rFonts w:eastAsiaTheme="minorEastAsia"/>
        </w:rPr>
        <w:footnoteRef/>
      </w:r>
      <w:r>
        <w:t xml:space="preserve"> </w:t>
      </w:r>
      <w:r w:rsidRPr="00C91704">
        <w:rPr>
          <w:rFonts w:ascii="Times New Roman" w:hAnsi="Times New Roman"/>
          <w:i/>
          <w:iCs/>
          <w:sz w:val="18"/>
          <w:szCs w:val="18"/>
        </w:rPr>
        <w:t xml:space="preserve">Les quantités de produits </w:t>
      </w:r>
      <w:r>
        <w:rPr>
          <w:rFonts w:ascii="Times New Roman" w:hAnsi="Times New Roman"/>
          <w:i/>
          <w:iCs/>
          <w:sz w:val="18"/>
          <w:szCs w:val="18"/>
        </w:rPr>
        <w:t xml:space="preserve">insecticides du type 1 </w:t>
      </w:r>
      <w:r w:rsidRPr="00C91704">
        <w:rPr>
          <w:rFonts w:ascii="Times New Roman" w:hAnsi="Times New Roman"/>
          <w:i/>
          <w:iCs/>
          <w:sz w:val="18"/>
          <w:szCs w:val="18"/>
        </w:rPr>
        <w:t xml:space="preserve">sont calculées sur la base des formulations simples non concentrées à </w:t>
      </w:r>
      <w:smartTag w:uri="urn:schemas-microsoft-com:office:smarttags" w:element="metricconverter">
        <w:smartTagPr>
          <w:attr w:name="ProductID" w:val="1 litre"/>
        </w:smartTagPr>
        <w:r w:rsidRPr="00C91704">
          <w:rPr>
            <w:rFonts w:ascii="Times New Roman" w:hAnsi="Times New Roman"/>
            <w:i/>
            <w:iCs/>
            <w:sz w:val="18"/>
            <w:szCs w:val="18"/>
          </w:rPr>
          <w:t>1 litre</w:t>
        </w:r>
      </w:smartTag>
      <w:r w:rsidRPr="00C91704">
        <w:rPr>
          <w:rFonts w:ascii="Times New Roman" w:hAnsi="Times New Roman"/>
          <w:i/>
          <w:iCs/>
          <w:sz w:val="18"/>
          <w:szCs w:val="18"/>
        </w:rPr>
        <w:t xml:space="preserve"> par hectare. Par conséquent, pour les produits concentrés doublement ou plus, les quantités mentionnées devront être divisées par le coefficient de concentration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</w:footnote>
  <w:footnote w:id="2">
    <w:p w:rsidR="00BD7B1A" w:rsidRPr="00D50978" w:rsidRDefault="00BD7B1A" w:rsidP="00BD7B1A">
      <w:pPr>
        <w:pStyle w:val="Notedebasdepage"/>
        <w:ind w:left="0"/>
        <w:rPr>
          <w:sz w:val="18"/>
          <w:szCs w:val="18"/>
        </w:rPr>
      </w:pPr>
      <w:r w:rsidRPr="00D50978">
        <w:rPr>
          <w:rStyle w:val="Appelnotedebasdep"/>
          <w:rFonts w:eastAsiaTheme="minorEastAsia"/>
        </w:rPr>
        <w:footnoteRef/>
      </w:r>
      <w:r w:rsidRPr="00D50978">
        <w:rPr>
          <w:sz w:val="18"/>
          <w:szCs w:val="18"/>
        </w:rPr>
        <w:t xml:space="preserve"> </w:t>
      </w:r>
      <w:r w:rsidRPr="00D50978">
        <w:rPr>
          <w:rFonts w:ascii="Times New Roman" w:hAnsi="Times New Roman"/>
          <w:i/>
          <w:iCs/>
          <w:sz w:val="18"/>
          <w:szCs w:val="18"/>
        </w:rPr>
        <w:t xml:space="preserve">Les quantités de produits insecticides du type 2 sont calculées sur la base des formulations simples non concentrées à </w:t>
      </w:r>
      <w:smartTag w:uri="urn:schemas-microsoft-com:office:smarttags" w:element="metricconverter">
        <w:smartTagPr>
          <w:attr w:name="ProductID" w:val="1 litre"/>
        </w:smartTagPr>
        <w:r w:rsidRPr="00D50978">
          <w:rPr>
            <w:rFonts w:ascii="Times New Roman" w:hAnsi="Times New Roman"/>
            <w:i/>
            <w:iCs/>
            <w:sz w:val="18"/>
            <w:szCs w:val="18"/>
          </w:rPr>
          <w:t>1 litre</w:t>
        </w:r>
      </w:smartTag>
      <w:r w:rsidRPr="00D50978">
        <w:rPr>
          <w:rFonts w:ascii="Times New Roman" w:hAnsi="Times New Roman"/>
          <w:i/>
          <w:iCs/>
          <w:sz w:val="18"/>
          <w:szCs w:val="18"/>
        </w:rPr>
        <w:t xml:space="preserve"> par hectare. Par conséquent, pour les produits concentrés doublement ou plus, les quantités mentionnées devront être divisées par le coefficient de concentration</w:t>
      </w:r>
    </w:p>
  </w:footnote>
  <w:footnote w:id="3">
    <w:p w:rsidR="00BD7B1A" w:rsidRDefault="00BD7B1A" w:rsidP="00BD7B1A">
      <w:pPr>
        <w:pStyle w:val="Notedebasdepage"/>
        <w:ind w:left="0"/>
      </w:pPr>
      <w:r>
        <w:rPr>
          <w:rStyle w:val="Appelnotedebasdep"/>
          <w:rFonts w:eastAsiaTheme="minorEastAsia"/>
        </w:rPr>
        <w:footnoteRef/>
      </w:r>
      <w:r>
        <w:t xml:space="preserve"> </w:t>
      </w:r>
      <w:r w:rsidRPr="00C91704">
        <w:rPr>
          <w:rFonts w:ascii="Times New Roman" w:hAnsi="Times New Roman"/>
          <w:i/>
          <w:iCs/>
          <w:sz w:val="18"/>
          <w:szCs w:val="18"/>
        </w:rPr>
        <w:t xml:space="preserve">Les quantités de produits </w:t>
      </w:r>
      <w:r>
        <w:rPr>
          <w:rFonts w:ascii="Times New Roman" w:hAnsi="Times New Roman"/>
          <w:i/>
          <w:iCs/>
          <w:sz w:val="18"/>
          <w:szCs w:val="18"/>
        </w:rPr>
        <w:t xml:space="preserve">insecticides du type 3 </w:t>
      </w:r>
      <w:r w:rsidRPr="00C91704">
        <w:rPr>
          <w:rFonts w:ascii="Times New Roman" w:hAnsi="Times New Roman"/>
          <w:i/>
          <w:iCs/>
          <w:sz w:val="18"/>
          <w:szCs w:val="18"/>
        </w:rPr>
        <w:t xml:space="preserve">sont calculées sur la base des formulations simples non concentrées à </w:t>
      </w:r>
      <w:smartTag w:uri="urn:schemas-microsoft-com:office:smarttags" w:element="metricconverter">
        <w:smartTagPr>
          <w:attr w:name="ProductID" w:val="1 litre"/>
        </w:smartTagPr>
        <w:r w:rsidRPr="00C91704">
          <w:rPr>
            <w:rFonts w:ascii="Times New Roman" w:hAnsi="Times New Roman"/>
            <w:i/>
            <w:iCs/>
            <w:sz w:val="18"/>
            <w:szCs w:val="18"/>
          </w:rPr>
          <w:t>1 litre</w:t>
        </w:r>
      </w:smartTag>
      <w:r w:rsidRPr="00C91704">
        <w:rPr>
          <w:rFonts w:ascii="Times New Roman" w:hAnsi="Times New Roman"/>
          <w:i/>
          <w:iCs/>
          <w:sz w:val="18"/>
          <w:szCs w:val="18"/>
        </w:rPr>
        <w:t xml:space="preserve"> par hectare. Par conséquent, pour les produits concentrés doublement ou plus, les quantités mentionnées devront être divisées par le coefficient de concentration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C0A"/>
    <w:multiLevelType w:val="multilevel"/>
    <w:tmpl w:val="6BA87AD0"/>
    <w:lvl w:ilvl="0">
      <w:start w:val="1"/>
      <w:numFmt w:val="decimal"/>
      <w:lvlText w:val="Titre %1"/>
      <w:lvlJc w:val="left"/>
      <w:pPr>
        <w:tabs>
          <w:tab w:val="num" w:pos="0"/>
        </w:tabs>
        <w:ind w:left="1474" w:hanging="1474"/>
      </w:pPr>
      <w:rPr>
        <w:rFonts w:hint="default"/>
      </w:rPr>
    </w:lvl>
    <w:lvl w:ilvl="1">
      <w:start w:val="1"/>
      <w:numFmt w:val="decimal"/>
      <w:lvlText w:val="Clause. %2"/>
      <w:lvlJc w:val="left"/>
      <w:pPr>
        <w:tabs>
          <w:tab w:val="num" w:pos="0"/>
        </w:tabs>
        <w:ind w:left="2211" w:hanging="2211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1191" w:hanging="1191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4015E4"/>
    <w:multiLevelType w:val="multilevel"/>
    <w:tmpl w:val="7ACA2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AB6B9A"/>
    <w:multiLevelType w:val="hybridMultilevel"/>
    <w:tmpl w:val="5C7C9C88"/>
    <w:lvl w:ilvl="0" w:tplc="A1B8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001F2"/>
    <w:multiLevelType w:val="multilevel"/>
    <w:tmpl w:val="37EC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6ABA2C8A"/>
    <w:multiLevelType w:val="multilevel"/>
    <w:tmpl w:val="37EC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777B091C"/>
    <w:multiLevelType w:val="hybridMultilevel"/>
    <w:tmpl w:val="6278106C"/>
    <w:lvl w:ilvl="0" w:tplc="27821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F"/>
    <w:rsid w:val="00055EF0"/>
    <w:rsid w:val="000B4B51"/>
    <w:rsid w:val="001048F0"/>
    <w:rsid w:val="00141128"/>
    <w:rsid w:val="001E21D5"/>
    <w:rsid w:val="001E7843"/>
    <w:rsid w:val="001F4865"/>
    <w:rsid w:val="003945F8"/>
    <w:rsid w:val="003A37C7"/>
    <w:rsid w:val="003B3B4F"/>
    <w:rsid w:val="0054271E"/>
    <w:rsid w:val="00581E31"/>
    <w:rsid w:val="0065799E"/>
    <w:rsid w:val="00690696"/>
    <w:rsid w:val="006C717A"/>
    <w:rsid w:val="00724E0F"/>
    <w:rsid w:val="00734495"/>
    <w:rsid w:val="00770066"/>
    <w:rsid w:val="00811672"/>
    <w:rsid w:val="00856050"/>
    <w:rsid w:val="008F654B"/>
    <w:rsid w:val="009B7DFB"/>
    <w:rsid w:val="00B200ED"/>
    <w:rsid w:val="00B23ED6"/>
    <w:rsid w:val="00BD7B1A"/>
    <w:rsid w:val="00BF47E0"/>
    <w:rsid w:val="00C469F2"/>
    <w:rsid w:val="00CB3F95"/>
    <w:rsid w:val="00CB6856"/>
    <w:rsid w:val="00D04FA8"/>
    <w:rsid w:val="00D3238B"/>
    <w:rsid w:val="00D56100"/>
    <w:rsid w:val="00D767FA"/>
    <w:rsid w:val="00E22A5A"/>
    <w:rsid w:val="00E41207"/>
    <w:rsid w:val="00E44D04"/>
    <w:rsid w:val="00EB5629"/>
    <w:rsid w:val="00F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B0240"/>
  <w15:chartTrackingRefBased/>
  <w15:docId w15:val="{EFAB8AD2-B0B2-4292-99E8-2EEF342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0F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D7B1A"/>
    <w:pPr>
      <w:keepNext/>
      <w:widowControl w:val="0"/>
      <w:numPr>
        <w:ilvl w:val="3"/>
        <w:numId w:val="2"/>
      </w:numPr>
      <w:tabs>
        <w:tab w:val="left" w:pos="2410"/>
        <w:tab w:val="left" w:pos="2835"/>
      </w:tabs>
      <w:spacing w:before="240" w:after="60" w:line="240" w:lineRule="auto"/>
      <w:jc w:val="center"/>
      <w:outlineLvl w:val="3"/>
    </w:pPr>
    <w:rPr>
      <w:rFonts w:ascii="Britannic Bold" w:eastAsia="Times New Roman" w:hAnsi="Britannic Bold" w:cs="Times New Roman"/>
      <w:i/>
      <w:sz w:val="24"/>
      <w:szCs w:val="20"/>
      <w:lang w:eastAsia="zh-CN"/>
    </w:rPr>
  </w:style>
  <w:style w:type="paragraph" w:styleId="Titre5">
    <w:name w:val="heading 5"/>
    <w:basedOn w:val="Normal"/>
    <w:next w:val="Normal"/>
    <w:link w:val="Titre5Car"/>
    <w:qFormat/>
    <w:rsid w:val="00BD7B1A"/>
    <w:pPr>
      <w:widowControl w:val="0"/>
      <w:numPr>
        <w:ilvl w:val="4"/>
        <w:numId w:val="2"/>
      </w:numPr>
      <w:tabs>
        <w:tab w:val="left" w:pos="851"/>
        <w:tab w:val="left" w:pos="2410"/>
        <w:tab w:val="left" w:pos="2835"/>
      </w:tabs>
      <w:spacing w:before="240" w:after="6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zh-CN"/>
    </w:rPr>
  </w:style>
  <w:style w:type="paragraph" w:styleId="Titre6">
    <w:name w:val="heading 6"/>
    <w:basedOn w:val="Normal"/>
    <w:next w:val="Normal"/>
    <w:link w:val="Titre6Car"/>
    <w:qFormat/>
    <w:rsid w:val="00BD7B1A"/>
    <w:pPr>
      <w:widowControl w:val="0"/>
      <w:numPr>
        <w:ilvl w:val="5"/>
        <w:numId w:val="2"/>
      </w:numPr>
      <w:tabs>
        <w:tab w:val="left" w:pos="851"/>
        <w:tab w:val="left" w:pos="2410"/>
        <w:tab w:val="left" w:pos="2835"/>
      </w:tabs>
      <w:spacing w:before="240" w:after="60" w:line="240" w:lineRule="auto"/>
      <w:jc w:val="center"/>
      <w:outlineLvl w:val="5"/>
    </w:pPr>
    <w:rPr>
      <w:rFonts w:ascii="Arial" w:eastAsia="Times New Roman" w:hAnsi="Arial" w:cs="Times New Roman"/>
      <w:b/>
      <w:i/>
      <w:szCs w:val="20"/>
      <w:lang w:eastAsia="zh-CN"/>
    </w:rPr>
  </w:style>
  <w:style w:type="paragraph" w:styleId="Titre7">
    <w:name w:val="heading 7"/>
    <w:basedOn w:val="Normal"/>
    <w:next w:val="Normal"/>
    <w:link w:val="Titre7Car"/>
    <w:qFormat/>
    <w:rsid w:val="00BD7B1A"/>
    <w:pPr>
      <w:widowControl w:val="0"/>
      <w:numPr>
        <w:ilvl w:val="6"/>
        <w:numId w:val="2"/>
      </w:numPr>
      <w:tabs>
        <w:tab w:val="left" w:pos="851"/>
        <w:tab w:val="left" w:pos="2410"/>
        <w:tab w:val="left" w:pos="2835"/>
      </w:tabs>
      <w:spacing w:before="240" w:after="6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qFormat/>
    <w:rsid w:val="00BD7B1A"/>
    <w:pPr>
      <w:widowControl w:val="0"/>
      <w:numPr>
        <w:ilvl w:val="7"/>
        <w:numId w:val="2"/>
      </w:numPr>
      <w:tabs>
        <w:tab w:val="left" w:pos="851"/>
        <w:tab w:val="left" w:pos="2410"/>
        <w:tab w:val="left" w:pos="2835"/>
      </w:tabs>
      <w:spacing w:before="240" w:after="60" w:line="240" w:lineRule="auto"/>
      <w:jc w:val="center"/>
      <w:outlineLvl w:val="7"/>
    </w:pPr>
    <w:rPr>
      <w:rFonts w:ascii="Arial" w:eastAsia="Times New Roman" w:hAnsi="Arial" w:cs="Times New Roman"/>
      <w:b/>
      <w:i/>
      <w:sz w:val="20"/>
      <w:szCs w:val="20"/>
      <w:lang w:eastAsia="zh-CN"/>
    </w:rPr>
  </w:style>
  <w:style w:type="paragraph" w:styleId="Titre9">
    <w:name w:val="heading 9"/>
    <w:basedOn w:val="Normal"/>
    <w:next w:val="Normal"/>
    <w:link w:val="Titre9Car"/>
    <w:qFormat/>
    <w:rsid w:val="00BD7B1A"/>
    <w:pPr>
      <w:widowControl w:val="0"/>
      <w:numPr>
        <w:ilvl w:val="8"/>
        <w:numId w:val="2"/>
      </w:numPr>
      <w:tabs>
        <w:tab w:val="left" w:pos="851"/>
        <w:tab w:val="left" w:pos="2410"/>
        <w:tab w:val="left" w:pos="2835"/>
      </w:tabs>
      <w:spacing w:before="240" w:after="60" w:line="240" w:lineRule="auto"/>
      <w:jc w:val="center"/>
      <w:outlineLvl w:val="8"/>
    </w:pPr>
    <w:rPr>
      <w:rFonts w:ascii="Arial" w:eastAsia="Times New Roman" w:hAnsi="Arial" w:cs="Times New Roman"/>
      <w:b/>
      <w:i/>
      <w:sz w:val="18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724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E0F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62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629"/>
    <w:rPr>
      <w:rFonts w:eastAsiaTheme="minorEastAsia"/>
      <w:lang w:eastAsia="fr-FR"/>
    </w:rPr>
  </w:style>
  <w:style w:type="paragraph" w:customStyle="1" w:styleId="pucest">
    <w:name w:val="pucest"/>
    <w:basedOn w:val="Normal"/>
    <w:rsid w:val="00F943B9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ind w:left="357" w:hanging="357"/>
      <w:jc w:val="both"/>
    </w:pPr>
    <w:rPr>
      <w:rFonts w:ascii="Britannic Bold" w:eastAsia="Times New Roman" w:hAnsi="Britannic Bold" w:cs="Times New Roman"/>
      <w:b/>
      <w:sz w:val="32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BD7B1A"/>
    <w:rPr>
      <w:rFonts w:ascii="Britannic Bold" w:eastAsia="Times New Roman" w:hAnsi="Britannic Bold" w:cs="Times New Roman"/>
      <w:i/>
      <w:sz w:val="24"/>
      <w:szCs w:val="20"/>
      <w:lang w:eastAsia="zh-CN"/>
    </w:rPr>
  </w:style>
  <w:style w:type="character" w:customStyle="1" w:styleId="Titre5Car">
    <w:name w:val="Titre 5 Car"/>
    <w:basedOn w:val="Policepardfaut"/>
    <w:link w:val="Titre5"/>
    <w:rsid w:val="00BD7B1A"/>
    <w:rPr>
      <w:rFonts w:ascii="Arial" w:eastAsia="Times New Roman" w:hAnsi="Arial" w:cs="Times New Roman"/>
      <w:b/>
      <w:szCs w:val="20"/>
      <w:lang w:eastAsia="zh-CN"/>
    </w:rPr>
  </w:style>
  <w:style w:type="character" w:customStyle="1" w:styleId="Titre6Car">
    <w:name w:val="Titre 6 Car"/>
    <w:basedOn w:val="Policepardfaut"/>
    <w:link w:val="Titre6"/>
    <w:rsid w:val="00BD7B1A"/>
    <w:rPr>
      <w:rFonts w:ascii="Arial" w:eastAsia="Times New Roman" w:hAnsi="Arial" w:cs="Times New Roman"/>
      <w:b/>
      <w:i/>
      <w:szCs w:val="20"/>
      <w:lang w:eastAsia="zh-CN"/>
    </w:rPr>
  </w:style>
  <w:style w:type="character" w:customStyle="1" w:styleId="Titre7Car">
    <w:name w:val="Titre 7 Car"/>
    <w:basedOn w:val="Policepardfaut"/>
    <w:link w:val="Titre7"/>
    <w:rsid w:val="00BD7B1A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Titre8Car">
    <w:name w:val="Titre 8 Car"/>
    <w:basedOn w:val="Policepardfaut"/>
    <w:link w:val="Titre8"/>
    <w:rsid w:val="00BD7B1A"/>
    <w:rPr>
      <w:rFonts w:ascii="Arial" w:eastAsia="Times New Roman" w:hAnsi="Arial" w:cs="Times New Roman"/>
      <w:b/>
      <w:i/>
      <w:sz w:val="20"/>
      <w:szCs w:val="20"/>
      <w:lang w:eastAsia="zh-CN"/>
    </w:rPr>
  </w:style>
  <w:style w:type="character" w:customStyle="1" w:styleId="Titre9Car">
    <w:name w:val="Titre 9 Car"/>
    <w:basedOn w:val="Policepardfaut"/>
    <w:link w:val="Titre9"/>
    <w:rsid w:val="00BD7B1A"/>
    <w:rPr>
      <w:rFonts w:ascii="Arial" w:eastAsia="Times New Roman" w:hAnsi="Arial" w:cs="Times New Roman"/>
      <w:b/>
      <w:i/>
      <w:sz w:val="18"/>
      <w:szCs w:val="20"/>
      <w:lang w:eastAsia="zh-CN"/>
    </w:rPr>
  </w:style>
  <w:style w:type="character" w:styleId="Appelnotedebasdep">
    <w:name w:val="footnote reference"/>
    <w:semiHidden/>
    <w:rsid w:val="00BD7B1A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BD7B1A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ind w:left="-1134"/>
      <w:jc w:val="both"/>
    </w:pPr>
    <w:rPr>
      <w:rFonts w:ascii="Britannic Bold" w:eastAsia="Times New Roman" w:hAnsi="Britannic Bold" w:cs="Times New Roman"/>
      <w:b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semiHidden/>
    <w:rsid w:val="00BD7B1A"/>
    <w:rPr>
      <w:rFonts w:ascii="Britannic Bold" w:eastAsia="Times New Roman" w:hAnsi="Britannic Bold" w:cs="Times New Roman"/>
      <w:b/>
      <w:sz w:val="20"/>
      <w:szCs w:val="20"/>
      <w:lang w:eastAsia="zh-CN"/>
    </w:rPr>
  </w:style>
  <w:style w:type="paragraph" w:styleId="TM2">
    <w:name w:val="toc 2"/>
    <w:basedOn w:val="Normal"/>
    <w:next w:val="Normal"/>
    <w:uiPriority w:val="39"/>
    <w:qFormat/>
    <w:rsid w:val="00BD7B1A"/>
    <w:pPr>
      <w:widowControl w:val="0"/>
      <w:spacing w:before="120" w:after="0" w:line="240" w:lineRule="auto"/>
      <w:ind w:left="-1134"/>
    </w:pPr>
    <w:rPr>
      <w:rFonts w:ascii="Britannic Bold" w:eastAsia="Times New Roman" w:hAnsi="Britannic Bold" w:cs="Times New Roman"/>
      <w:b/>
      <w:bCs/>
      <w:smallCaps/>
      <w:lang w:eastAsia="zh-CN"/>
    </w:rPr>
  </w:style>
  <w:style w:type="paragraph" w:styleId="Corpsdetexte">
    <w:name w:val="Body Text"/>
    <w:basedOn w:val="Normal"/>
    <w:link w:val="CorpsdetexteCar"/>
    <w:rsid w:val="00BD7B1A"/>
    <w:pPr>
      <w:keepNext/>
      <w:keepLines/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ind w:left="-1134"/>
      <w:jc w:val="both"/>
    </w:pPr>
    <w:rPr>
      <w:rFonts w:ascii="Britannic Bold" w:eastAsia="Times New Roman" w:hAnsi="Britannic Bold" w:cs="Times New Roman"/>
      <w:b/>
      <w:sz w:val="32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D7B1A"/>
    <w:rPr>
      <w:rFonts w:ascii="Britannic Bold" w:eastAsia="Times New Roman" w:hAnsi="Britannic Bold" w:cs="Times New Roman"/>
      <w:b/>
      <w:sz w:val="32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B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sofitex.bf.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Sibiri SOU</dc:creator>
  <cp:keywords/>
  <dc:description/>
  <cp:lastModifiedBy>Simeon KINDA</cp:lastModifiedBy>
  <cp:revision>20</cp:revision>
  <dcterms:created xsi:type="dcterms:W3CDTF">2022-09-16T14:51:00Z</dcterms:created>
  <dcterms:modified xsi:type="dcterms:W3CDTF">2022-09-23T08:17:00Z</dcterms:modified>
</cp:coreProperties>
</file>