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EC" w:rsidRDefault="0077001E" w:rsidP="0077001E">
      <w:pPr>
        <w:jc w:val="both"/>
        <w:rPr>
          <w:rFonts w:ascii="Adobe Garamond Pro" w:hAnsi="Adobe Garamond Pro"/>
          <w:b/>
          <w:sz w:val="28"/>
          <w:szCs w:val="28"/>
        </w:rPr>
      </w:pPr>
      <w:r w:rsidRPr="0077001E">
        <w:rPr>
          <w:rFonts w:ascii="Adobe Garamond Pro" w:hAnsi="Adobe Garamond Pro"/>
          <w:b/>
          <w:sz w:val="28"/>
          <w:szCs w:val="28"/>
        </w:rPr>
        <w:t>Que Dit l’avant-</w:t>
      </w:r>
      <w:r w:rsidR="00E14830">
        <w:rPr>
          <w:rFonts w:ascii="Adobe Garamond Pro" w:hAnsi="Adobe Garamond Pro"/>
          <w:b/>
          <w:sz w:val="28"/>
          <w:szCs w:val="28"/>
        </w:rPr>
        <w:t>projet de loi sur le quota</w:t>
      </w:r>
    </w:p>
    <w:p w:rsidR="0077001E" w:rsidRPr="009D6438" w:rsidRDefault="0077001E" w:rsidP="0077001E">
      <w:pPr>
        <w:jc w:val="both"/>
        <w:rPr>
          <w:rFonts w:ascii="Adobe Garamond Pro" w:hAnsi="Adobe Garamond Pro"/>
          <w:b/>
        </w:rPr>
      </w:pPr>
      <w:proofErr w:type="spellStart"/>
      <w:r w:rsidRPr="009D6438">
        <w:rPr>
          <w:rFonts w:ascii="Adobe Garamond Pro" w:hAnsi="Adobe Garamond Pro"/>
          <w:b/>
        </w:rPr>
        <w:t>ChpI</w:t>
      </w:r>
      <w:proofErr w:type="spellEnd"/>
      <w:r w:rsidRPr="009D6438">
        <w:rPr>
          <w:rFonts w:ascii="Adobe Garamond Pro" w:hAnsi="Adobe Garamond Pro"/>
          <w:b/>
        </w:rPr>
        <w:t> : Dispositions générales</w:t>
      </w:r>
    </w:p>
    <w:p w:rsidR="0077001E" w:rsidRDefault="0077001E" w:rsidP="0077001E">
      <w:pPr>
        <w:jc w:val="both"/>
        <w:rPr>
          <w:rFonts w:ascii="Adobe Garamond Pro" w:hAnsi="Adobe Garamond Pro"/>
        </w:rPr>
      </w:pPr>
      <w:r>
        <w:rPr>
          <w:rFonts w:ascii="Adobe Garamond Pro" w:hAnsi="Adobe Garamond Pro"/>
        </w:rPr>
        <w:t>Art.1 : La présente loi fixe un quota au profit de l’un et l’autre sexe, ainsi que les modalités de  positionnement des candidates et des candidats aux élections législatives et municipales au Burkina Faso.</w:t>
      </w:r>
    </w:p>
    <w:p w:rsidR="0077001E" w:rsidRDefault="0077001E" w:rsidP="0077001E">
      <w:pPr>
        <w:jc w:val="both"/>
        <w:rPr>
          <w:rFonts w:ascii="Adobe Garamond Pro" w:hAnsi="Adobe Garamond Pro"/>
        </w:rPr>
      </w:pPr>
      <w:r>
        <w:rPr>
          <w:rFonts w:ascii="Adobe Garamond Pro" w:hAnsi="Adobe Garamond Pro"/>
        </w:rPr>
        <w:t>Le quota et les modalités de positionnement sont cumulatifs.</w:t>
      </w:r>
    </w:p>
    <w:p w:rsidR="0077001E" w:rsidRDefault="0077001E" w:rsidP="0077001E">
      <w:pPr>
        <w:jc w:val="both"/>
        <w:rPr>
          <w:rFonts w:ascii="Adobe Garamond Pro" w:hAnsi="Adobe Garamond Pro"/>
        </w:rPr>
      </w:pPr>
      <w:r>
        <w:rPr>
          <w:rFonts w:ascii="Adobe Garamond Pro" w:hAnsi="Adobe Garamond Pro"/>
        </w:rPr>
        <w:t>Art.2 : La fixation du quota et les modalités de positionnement des candidates ou des candidats sont une mesure temporaire visant à prendre à l’un et l’autre sexe, sans distinction aucune, de prendre part à la direction des affaires publiques par l’intermédiaire de représentantes élues et représentants élus.</w:t>
      </w:r>
    </w:p>
    <w:p w:rsidR="0077001E" w:rsidRPr="009D6438" w:rsidRDefault="0077001E" w:rsidP="0077001E">
      <w:pPr>
        <w:jc w:val="both"/>
        <w:rPr>
          <w:rFonts w:ascii="Adobe Garamond Pro" w:hAnsi="Adobe Garamond Pro"/>
          <w:b/>
        </w:rPr>
      </w:pPr>
      <w:proofErr w:type="spellStart"/>
      <w:r w:rsidRPr="009D6438">
        <w:rPr>
          <w:rFonts w:ascii="Adobe Garamond Pro" w:hAnsi="Adobe Garamond Pro"/>
          <w:b/>
        </w:rPr>
        <w:t>ChpII</w:t>
      </w:r>
      <w:proofErr w:type="spellEnd"/>
      <w:r w:rsidRPr="009D6438">
        <w:rPr>
          <w:rFonts w:ascii="Adobe Garamond Pro" w:hAnsi="Adobe Garamond Pro"/>
          <w:b/>
        </w:rPr>
        <w:t> : Fixation de quotas</w:t>
      </w:r>
    </w:p>
    <w:p w:rsidR="0077001E" w:rsidRDefault="0077001E" w:rsidP="0077001E">
      <w:pPr>
        <w:jc w:val="both"/>
        <w:rPr>
          <w:rFonts w:ascii="Adobe Garamond Pro" w:hAnsi="Adobe Garamond Pro"/>
        </w:rPr>
      </w:pPr>
      <w:r>
        <w:rPr>
          <w:rFonts w:ascii="Adobe Garamond Pro" w:hAnsi="Adobe Garamond Pro"/>
        </w:rPr>
        <w:t>Art.3 : L’ensemble des listes de candidature présentées par chaque parti politique, regroupement de partis politiques ou regroupement d’indépendants, sur l’ensemble des circonscriptions électorales, comporte en tête de liste titulaire, au moins 30% de l’un et l’autre sexe.</w:t>
      </w:r>
    </w:p>
    <w:p w:rsidR="0077001E" w:rsidRPr="009D6438" w:rsidRDefault="0077001E" w:rsidP="0077001E">
      <w:pPr>
        <w:jc w:val="both"/>
        <w:rPr>
          <w:rFonts w:ascii="Adobe Garamond Pro" w:hAnsi="Adobe Garamond Pro"/>
          <w:b/>
        </w:rPr>
      </w:pPr>
      <w:proofErr w:type="spellStart"/>
      <w:r w:rsidRPr="009D6438">
        <w:rPr>
          <w:rFonts w:ascii="Adobe Garamond Pro" w:hAnsi="Adobe Garamond Pro"/>
          <w:b/>
        </w:rPr>
        <w:t>ChpIII</w:t>
      </w:r>
      <w:proofErr w:type="spellEnd"/>
      <w:r w:rsidRPr="009D6438">
        <w:rPr>
          <w:rFonts w:ascii="Adobe Garamond Pro" w:hAnsi="Adobe Garamond Pro"/>
          <w:b/>
        </w:rPr>
        <w:t> : Modalités de positionnement des candidates ou des candidats</w:t>
      </w:r>
    </w:p>
    <w:p w:rsidR="0077001E" w:rsidRDefault="0077001E" w:rsidP="0077001E">
      <w:pPr>
        <w:jc w:val="both"/>
        <w:rPr>
          <w:rFonts w:ascii="Adobe Garamond Pro" w:hAnsi="Adobe Garamond Pro"/>
        </w:rPr>
      </w:pPr>
      <w:r>
        <w:rPr>
          <w:rFonts w:ascii="Adobe Garamond Pro" w:hAnsi="Adobe Garamond Pro"/>
        </w:rPr>
        <w:t>Art.4 : Chaque liste de candidatures présentées à l’occasion des élections législatives ou municipales par un parti politique, un regroupement de partis politiques ou un regroupement d’indépendants, dans une circonscription électorale dont le nombre de sièges à pourvoir est pair, est alternée femme-homme ou homme-femme.</w:t>
      </w:r>
    </w:p>
    <w:p w:rsidR="0077001E" w:rsidRDefault="0077001E" w:rsidP="0077001E">
      <w:pPr>
        <w:jc w:val="both"/>
        <w:rPr>
          <w:rFonts w:ascii="Adobe Garamond Pro" w:hAnsi="Adobe Garamond Pro"/>
        </w:rPr>
      </w:pPr>
      <w:r>
        <w:rPr>
          <w:rFonts w:ascii="Adobe Garamond Pro" w:hAnsi="Adobe Garamond Pro"/>
        </w:rPr>
        <w:t>Une liste alternée est une liste sur laquelle le positionnement d’un candidat d’un sexe donné est immédiatement suivi du positionnement d’un candidat de l’autre sexe.</w:t>
      </w:r>
    </w:p>
    <w:p w:rsidR="0077001E" w:rsidRDefault="0077001E" w:rsidP="0077001E">
      <w:pPr>
        <w:jc w:val="both"/>
        <w:rPr>
          <w:rFonts w:ascii="Adobe Garamond Pro" w:hAnsi="Adobe Garamond Pro"/>
        </w:rPr>
      </w:pPr>
      <w:r>
        <w:rPr>
          <w:rFonts w:ascii="Adobe Garamond Pro" w:hAnsi="Adobe Garamond Pro"/>
        </w:rPr>
        <w:t>Art.5 : Le positionnement alterné s’applique aussi bien à la liste des titulaires qu’</w:t>
      </w:r>
      <w:r w:rsidR="009D6438">
        <w:rPr>
          <w:rFonts w:ascii="Adobe Garamond Pro" w:hAnsi="Adobe Garamond Pro"/>
        </w:rPr>
        <w:t>à cell</w:t>
      </w:r>
      <w:r>
        <w:rPr>
          <w:rFonts w:ascii="Adobe Garamond Pro" w:hAnsi="Adobe Garamond Pro"/>
        </w:rPr>
        <w:t>e des sup</w:t>
      </w:r>
      <w:r w:rsidR="009D6438">
        <w:rPr>
          <w:rFonts w:ascii="Adobe Garamond Pro" w:hAnsi="Adobe Garamond Pro"/>
        </w:rPr>
        <w:t>pléants</w:t>
      </w:r>
      <w:r>
        <w:rPr>
          <w:rFonts w:ascii="Adobe Garamond Pro" w:hAnsi="Adobe Garamond Pro"/>
        </w:rPr>
        <w:t>, présentée par un parti politique, regroupement de partis politiques ou regroupement d’indépendants dans chacune des circonscriptions électorales locale et nationale définies par le Code électoral, pour les élections législatives et municipales.</w:t>
      </w:r>
      <w:r w:rsidR="009D6438">
        <w:rPr>
          <w:rFonts w:ascii="Adobe Garamond Pro" w:hAnsi="Adobe Garamond Pro"/>
        </w:rPr>
        <w:t xml:space="preserve"> En aucun cas le titulaire et le suppléant sur une même liste de candidatures, ne doivent être de même sexe.</w:t>
      </w:r>
    </w:p>
    <w:p w:rsidR="009D6438" w:rsidRDefault="009D6438" w:rsidP="0077001E">
      <w:pPr>
        <w:jc w:val="both"/>
        <w:rPr>
          <w:rFonts w:ascii="Adobe Garamond Pro" w:hAnsi="Adobe Garamond Pro"/>
        </w:rPr>
      </w:pPr>
      <w:r>
        <w:rPr>
          <w:rFonts w:ascii="Adobe Garamond Pro" w:hAnsi="Adobe Garamond Pro"/>
        </w:rPr>
        <w:t>Art.6 : Dans les circonscriptions électorales dont le nombre de sièges à pourvoir est impair, les listes de candidatures présentées par un parti politique, un regroupement de partis politiques ou un regroupement d’indépendants, sont alternées au 2/3 supérieur.</w:t>
      </w:r>
    </w:p>
    <w:p w:rsidR="009D6438" w:rsidRDefault="009D6438" w:rsidP="0077001E">
      <w:pPr>
        <w:jc w:val="both"/>
        <w:rPr>
          <w:rFonts w:ascii="Adobe Garamond Pro" w:hAnsi="Adobe Garamond Pro"/>
        </w:rPr>
      </w:pPr>
      <w:r>
        <w:rPr>
          <w:rFonts w:ascii="Adobe Garamond Pro" w:hAnsi="Adobe Garamond Pro"/>
        </w:rPr>
        <w:t>Une liste alternée au 2/3 supérieur est une liste sur laquelle le positionnement des premiers 2/3 des candidats est alterné, le tiers restant relevant de la discrétion du parti politique, regroupement de partis politiques ou du regroupement d’indépendants.</w:t>
      </w:r>
    </w:p>
    <w:p w:rsidR="009D6438" w:rsidRDefault="009D6438" w:rsidP="0077001E">
      <w:pPr>
        <w:jc w:val="both"/>
        <w:rPr>
          <w:rFonts w:ascii="Adobe Garamond Pro" w:hAnsi="Adobe Garamond Pro"/>
        </w:rPr>
      </w:pPr>
      <w:r>
        <w:rPr>
          <w:rFonts w:ascii="Adobe Garamond Pro" w:hAnsi="Adobe Garamond Pro"/>
        </w:rPr>
        <w:t>Art.7 : Le positionnement alterné au 2/3 supérieur s’applique aussi bien à la liste des titulaires qu’à celle des suppléants, présentée par un parti politique, regroupement de partis politiques ou regroupement d’indépendants dans chacune des circonscriptions électorales locale et nationale définies par le Code électoral, pour les élections législatives et municipales au Burkina Faso.</w:t>
      </w:r>
    </w:p>
    <w:p w:rsidR="009D6438" w:rsidRDefault="009D6438" w:rsidP="0077001E">
      <w:pPr>
        <w:jc w:val="both"/>
        <w:rPr>
          <w:rFonts w:ascii="Adobe Garamond Pro" w:hAnsi="Adobe Garamond Pro"/>
        </w:rPr>
      </w:pPr>
      <w:r>
        <w:rPr>
          <w:rFonts w:ascii="Adobe Garamond Pro" w:hAnsi="Adobe Garamond Pro"/>
        </w:rPr>
        <w:t>Art.8 : Au dépôt de ses listes, tout parti politique, regroupement de partis politiques ou regroupement d’indépendants fournit à la Commission électorale nationale indépendante (CENI) ou à ses démembrements, des informations écrites sur le respect du quota et de la modalité de positionnement définis aux articles 3 et 4 de la présente loi.</w:t>
      </w:r>
    </w:p>
    <w:p w:rsidR="009D6438" w:rsidRDefault="009D6438" w:rsidP="0077001E">
      <w:pPr>
        <w:jc w:val="both"/>
        <w:rPr>
          <w:rFonts w:ascii="Adobe Garamond Pro" w:hAnsi="Adobe Garamond Pro"/>
        </w:rPr>
      </w:pPr>
      <w:r>
        <w:rPr>
          <w:rFonts w:ascii="Adobe Garamond Pro" w:hAnsi="Adobe Garamond Pro"/>
        </w:rPr>
        <w:lastRenderedPageBreak/>
        <w:t>Ces informations sont désagrégées par sexe et précisent la proportion des candidats de l’un et de l’autre sexe sur la liste des titulaires et sur la liste des suppléants, ainsi que leurs positionnements respectifs sur chacune des listes de candidatures présentées dans chaque circonscription électorale.</w:t>
      </w:r>
    </w:p>
    <w:p w:rsidR="009D6438" w:rsidRDefault="009D6438" w:rsidP="0077001E">
      <w:pPr>
        <w:jc w:val="both"/>
        <w:rPr>
          <w:rFonts w:ascii="Adobe Garamond Pro" w:hAnsi="Adobe Garamond Pro"/>
        </w:rPr>
      </w:pPr>
      <w:r>
        <w:rPr>
          <w:rFonts w:ascii="Adobe Garamond Pro" w:hAnsi="Adobe Garamond Pro"/>
        </w:rPr>
        <w:t>Art.9 : Dans les quinze jours suivant la clôture des déclarations de candidatures, la CENI dresse un rapport détaillé faisant le point du respect du quota et des modalités de positionnement par les partis politiques, regroupement de partis politiques ou regroupement d’indépendants.</w:t>
      </w:r>
    </w:p>
    <w:p w:rsidR="009D6438" w:rsidRDefault="009D6438" w:rsidP="0077001E">
      <w:pPr>
        <w:jc w:val="both"/>
        <w:rPr>
          <w:rFonts w:ascii="Adobe Garamond Pro" w:hAnsi="Adobe Garamond Pro"/>
        </w:rPr>
      </w:pPr>
      <w:r>
        <w:rPr>
          <w:rFonts w:ascii="Adobe Garamond Pro" w:hAnsi="Adobe Garamond Pro"/>
        </w:rPr>
        <w:t>Le rapport détaillé comporte les statistiques désagrégées par sexe des candidatures présentées par chaque parti politique, regroupement de partis politiques ou regroupement d’indépendants.</w:t>
      </w:r>
    </w:p>
    <w:p w:rsidR="009D6438" w:rsidRDefault="009D6438" w:rsidP="0077001E">
      <w:pPr>
        <w:jc w:val="both"/>
        <w:rPr>
          <w:rFonts w:ascii="Adobe Garamond Pro" w:hAnsi="Adobe Garamond Pro"/>
        </w:rPr>
      </w:pPr>
      <w:r>
        <w:rPr>
          <w:rFonts w:ascii="Adobe Garamond Pro" w:hAnsi="Adobe Garamond Pro"/>
        </w:rPr>
        <w:t>Ce rapport est transmis officiellement au ministre en charge des libertés publiques qui le publie dans les 15 jours suivant la date de réception.</w:t>
      </w:r>
    </w:p>
    <w:p w:rsidR="00E14830" w:rsidRPr="00E14830" w:rsidRDefault="00E14830" w:rsidP="0077001E">
      <w:pPr>
        <w:jc w:val="both"/>
        <w:rPr>
          <w:rFonts w:ascii="Adobe Garamond Pro" w:hAnsi="Adobe Garamond Pro"/>
          <w:b/>
        </w:rPr>
      </w:pPr>
      <w:proofErr w:type="spellStart"/>
      <w:r w:rsidRPr="00E14830">
        <w:rPr>
          <w:rFonts w:ascii="Adobe Garamond Pro" w:hAnsi="Adobe Garamond Pro"/>
          <w:b/>
        </w:rPr>
        <w:t>ChpIII</w:t>
      </w:r>
      <w:proofErr w:type="spellEnd"/>
      <w:r w:rsidRPr="00E14830">
        <w:rPr>
          <w:rFonts w:ascii="Adobe Garamond Pro" w:hAnsi="Adobe Garamond Pro"/>
          <w:b/>
        </w:rPr>
        <w:t> : Sanction</w:t>
      </w:r>
    </w:p>
    <w:p w:rsidR="00E14830" w:rsidRDefault="00E14830" w:rsidP="0077001E">
      <w:pPr>
        <w:jc w:val="both"/>
        <w:rPr>
          <w:rFonts w:ascii="Adobe Garamond Pro" w:hAnsi="Adobe Garamond Pro"/>
        </w:rPr>
      </w:pPr>
      <w:r>
        <w:rPr>
          <w:rFonts w:ascii="Adobe Garamond Pro" w:hAnsi="Adobe Garamond Pro"/>
        </w:rPr>
        <w:t>Art.10 : Toute liste présentée par un parti politique, regroupement de partis politiques ou regroupement d’indépendants dans une circonscription électorale et sur la liste nationale lors des élections législatives et municipales qui ne respecte pas les dispositions de la présente loi est rejetée par la CENI.</w:t>
      </w:r>
    </w:p>
    <w:p w:rsidR="00E14830" w:rsidRPr="00E14830" w:rsidRDefault="00E14830" w:rsidP="0077001E">
      <w:pPr>
        <w:jc w:val="both"/>
        <w:rPr>
          <w:rFonts w:ascii="Adobe Garamond Pro" w:hAnsi="Adobe Garamond Pro"/>
          <w:b/>
        </w:rPr>
      </w:pPr>
      <w:proofErr w:type="spellStart"/>
      <w:r w:rsidRPr="00E14830">
        <w:rPr>
          <w:rFonts w:ascii="Adobe Garamond Pro" w:hAnsi="Adobe Garamond Pro"/>
          <w:b/>
        </w:rPr>
        <w:t>Chp.IV</w:t>
      </w:r>
      <w:proofErr w:type="spellEnd"/>
      <w:r w:rsidRPr="00E14830">
        <w:rPr>
          <w:rFonts w:ascii="Adobe Garamond Pro" w:hAnsi="Adobe Garamond Pro"/>
          <w:b/>
        </w:rPr>
        <w:t> : Dispositions finales</w:t>
      </w:r>
    </w:p>
    <w:p w:rsidR="00E14830" w:rsidRDefault="00E14830" w:rsidP="0077001E">
      <w:pPr>
        <w:jc w:val="both"/>
        <w:rPr>
          <w:rFonts w:ascii="Adobe Garamond Pro" w:hAnsi="Adobe Garamond Pro"/>
        </w:rPr>
      </w:pPr>
      <w:r>
        <w:rPr>
          <w:rFonts w:ascii="Adobe Garamond Pro" w:hAnsi="Adobe Garamond Pro"/>
        </w:rPr>
        <w:t>Art.11 : Un décret pris en Conseil de ministres précisera, au besoin, les modalités d’application de la présente loi.</w:t>
      </w:r>
    </w:p>
    <w:p w:rsidR="00E14830" w:rsidRDefault="00E14830" w:rsidP="0077001E">
      <w:pPr>
        <w:jc w:val="both"/>
        <w:rPr>
          <w:rFonts w:ascii="Adobe Garamond Pro" w:hAnsi="Adobe Garamond Pro"/>
        </w:rPr>
      </w:pPr>
      <w:r>
        <w:rPr>
          <w:rFonts w:ascii="Adobe Garamond Pro" w:hAnsi="Adobe Garamond Pro"/>
        </w:rPr>
        <w:t>Art.12 : La présente loi qui abroge toutes dispositions antérieures contraires notamment à la loi n°010-2009/AN du 16 avril 2009 portant fixation de quotas aux élections législatives et aux élections municipales au Burkina Faso, sera exécutée comme loi de l’Etat.</w:t>
      </w:r>
    </w:p>
    <w:p w:rsidR="009D6438" w:rsidRDefault="009D6438" w:rsidP="0077001E">
      <w:pPr>
        <w:jc w:val="both"/>
        <w:rPr>
          <w:rFonts w:ascii="Adobe Garamond Pro" w:hAnsi="Adobe Garamond Pro"/>
        </w:rPr>
      </w:pPr>
    </w:p>
    <w:p w:rsidR="009D6438" w:rsidRDefault="009D6438" w:rsidP="0077001E">
      <w:pPr>
        <w:jc w:val="both"/>
        <w:rPr>
          <w:rFonts w:ascii="Adobe Garamond Pro" w:hAnsi="Adobe Garamond Pro"/>
        </w:rPr>
      </w:pPr>
    </w:p>
    <w:p w:rsidR="0077001E" w:rsidRPr="0077001E" w:rsidRDefault="0077001E" w:rsidP="0077001E">
      <w:pPr>
        <w:jc w:val="both"/>
        <w:rPr>
          <w:rFonts w:ascii="Adobe Garamond Pro" w:hAnsi="Adobe Garamond Pro"/>
        </w:rPr>
      </w:pPr>
    </w:p>
    <w:p w:rsidR="0077001E" w:rsidRDefault="0077001E">
      <w:bookmarkStart w:id="0" w:name="_GoBack"/>
      <w:bookmarkEnd w:id="0"/>
    </w:p>
    <w:sectPr w:rsidR="00770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0F"/>
    <w:rsid w:val="002C24EC"/>
    <w:rsid w:val="005B480F"/>
    <w:rsid w:val="0077001E"/>
    <w:rsid w:val="009D6438"/>
    <w:rsid w:val="00E14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D9645-67F3-4001-B00F-D3601F12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2</cp:revision>
  <dcterms:created xsi:type="dcterms:W3CDTF">2019-04-13T15:31:00Z</dcterms:created>
  <dcterms:modified xsi:type="dcterms:W3CDTF">2019-04-13T16:31:00Z</dcterms:modified>
</cp:coreProperties>
</file>