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D0" w:rsidRPr="00337152" w:rsidRDefault="00337152" w:rsidP="00337152">
      <w:pPr>
        <w:jc w:val="both"/>
        <w:rPr>
          <w:b/>
          <w:sz w:val="32"/>
          <w:szCs w:val="24"/>
        </w:rPr>
      </w:pPr>
      <w:r w:rsidRPr="00337152">
        <w:rPr>
          <w:b/>
          <w:sz w:val="32"/>
          <w:szCs w:val="24"/>
        </w:rPr>
        <w:t>Election</w:t>
      </w:r>
      <w:r w:rsidR="003E3A06">
        <w:rPr>
          <w:b/>
          <w:sz w:val="32"/>
          <w:szCs w:val="24"/>
        </w:rPr>
        <w:t>s du 29 novembre : Le point de la corruption électorale</w:t>
      </w:r>
    </w:p>
    <w:p w:rsidR="00337152" w:rsidRDefault="00337152" w:rsidP="008426CC">
      <w:pPr>
        <w:rPr>
          <w:sz w:val="24"/>
          <w:szCs w:val="24"/>
        </w:rPr>
      </w:pPr>
    </w:p>
    <w:p w:rsidR="009F2FF3" w:rsidRDefault="00337152" w:rsidP="003E3A06">
      <w:pPr>
        <w:jc w:val="both"/>
        <w:rPr>
          <w:sz w:val="24"/>
          <w:szCs w:val="24"/>
        </w:rPr>
      </w:pPr>
      <w:r>
        <w:rPr>
          <w:sz w:val="24"/>
          <w:szCs w:val="24"/>
        </w:rPr>
        <w:t>Dans la déclaration du Réseau National de Lutte Anti-Co</w:t>
      </w:r>
      <w:r w:rsidR="003E3A06">
        <w:rPr>
          <w:sz w:val="24"/>
          <w:szCs w:val="24"/>
        </w:rPr>
        <w:t>rruption (REN-LAC) lue lors du déjeuner de presse ce</w:t>
      </w:r>
      <w:r>
        <w:rPr>
          <w:sz w:val="24"/>
          <w:szCs w:val="24"/>
        </w:rPr>
        <w:t xml:space="preserve"> mardi 12 janvier 2016, il est ressorti que plusieurs partis politiques et formations politiques</w:t>
      </w:r>
      <w:r w:rsidR="003E3A06">
        <w:rPr>
          <w:sz w:val="24"/>
          <w:szCs w:val="24"/>
        </w:rPr>
        <w:t xml:space="preserve"> </w:t>
      </w:r>
      <w:r>
        <w:rPr>
          <w:sz w:val="24"/>
          <w:szCs w:val="24"/>
        </w:rPr>
        <w:t>ont été cités dans des cas de corruptions lors de la campag</w:t>
      </w:r>
      <w:r w:rsidR="003E3A06">
        <w:rPr>
          <w:sz w:val="24"/>
          <w:szCs w:val="24"/>
        </w:rPr>
        <w:t>ne électorale qui s’est déroulée</w:t>
      </w:r>
      <w:r>
        <w:rPr>
          <w:sz w:val="24"/>
          <w:szCs w:val="24"/>
        </w:rPr>
        <w:t xml:space="preserve"> du 08 au 27 Novembre 2015. La pré-campagne a</w:t>
      </w:r>
      <w:r w:rsidR="003E3A06">
        <w:rPr>
          <w:sz w:val="24"/>
          <w:szCs w:val="24"/>
        </w:rPr>
        <w:t xml:space="preserve"> été également entachée d’</w:t>
      </w:r>
      <w:r>
        <w:rPr>
          <w:sz w:val="24"/>
          <w:szCs w:val="24"/>
        </w:rPr>
        <w:t xml:space="preserve">actes </w:t>
      </w:r>
      <w:r w:rsidR="003E3A06">
        <w:rPr>
          <w:sz w:val="24"/>
          <w:szCs w:val="24"/>
        </w:rPr>
        <w:t>de corruption</w:t>
      </w:r>
      <w:r>
        <w:rPr>
          <w:sz w:val="24"/>
          <w:szCs w:val="24"/>
        </w:rPr>
        <w:t xml:space="preserve">. </w:t>
      </w:r>
      <w:r w:rsidR="00DB0875">
        <w:rPr>
          <w:sz w:val="24"/>
          <w:szCs w:val="24"/>
        </w:rPr>
        <w:t xml:space="preserve">Le phénomène a été plus </w:t>
      </w:r>
      <w:r w:rsidR="003E3A06">
        <w:rPr>
          <w:sz w:val="24"/>
          <w:szCs w:val="24"/>
        </w:rPr>
        <w:t xml:space="preserve">prononcé </w:t>
      </w:r>
      <w:r w:rsidR="00DB0875">
        <w:rPr>
          <w:sz w:val="24"/>
          <w:szCs w:val="24"/>
        </w:rPr>
        <w:t>dans les chefs-lieux de régions.</w:t>
      </w:r>
      <w:r w:rsidR="003E3A06">
        <w:rPr>
          <w:sz w:val="24"/>
          <w:szCs w:val="24"/>
        </w:rPr>
        <w:t xml:space="preserve"> Le point. </w:t>
      </w:r>
    </w:p>
    <w:p w:rsidR="003E3A06" w:rsidRDefault="003E3A06" w:rsidP="003E3A06">
      <w:pPr>
        <w:jc w:val="both"/>
        <w:rPr>
          <w:sz w:val="24"/>
          <w:szCs w:val="24"/>
        </w:rPr>
      </w:pPr>
    </w:p>
    <w:p w:rsidR="003E3A06" w:rsidRPr="003E3A06" w:rsidRDefault="003E3A06" w:rsidP="003E3A06">
      <w:pPr>
        <w:jc w:val="both"/>
        <w:rPr>
          <w:sz w:val="24"/>
          <w:szCs w:val="24"/>
        </w:rPr>
      </w:pPr>
    </w:p>
    <w:tbl>
      <w:tblPr>
        <w:tblStyle w:val="Grilledutableau"/>
        <w:tblW w:w="10173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6204"/>
        <w:gridCol w:w="1275"/>
        <w:gridCol w:w="993"/>
        <w:gridCol w:w="1701"/>
      </w:tblGrid>
      <w:tr w:rsidR="00DD3510" w:rsidTr="003E3A06">
        <w:trPr>
          <w:trHeight w:val="39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510" w:rsidRDefault="00DD3510" w:rsidP="00DD3510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592AA3" w:rsidRPr="004D3B37" w:rsidTr="003E3A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  <w:tcBorders>
              <w:top w:val="single" w:sz="4" w:space="0" w:color="auto"/>
            </w:tcBorders>
          </w:tcPr>
          <w:p w:rsidR="00592AA3" w:rsidRPr="004D3B37" w:rsidRDefault="00592AA3" w:rsidP="008426CC">
            <w:pPr>
              <w:rPr>
                <w:b/>
                <w:szCs w:val="28"/>
              </w:rPr>
            </w:pPr>
            <w:r w:rsidRPr="004D3B37">
              <w:rPr>
                <w:b/>
                <w:szCs w:val="28"/>
              </w:rPr>
              <w:t>Parti</w:t>
            </w:r>
            <w:r w:rsidR="00F72E58" w:rsidRPr="004D3B37">
              <w:rPr>
                <w:b/>
                <w:szCs w:val="28"/>
              </w:rPr>
              <w:t>s</w:t>
            </w:r>
            <w:r w:rsidRPr="004D3B37">
              <w:rPr>
                <w:b/>
                <w:szCs w:val="28"/>
              </w:rPr>
              <w:t xml:space="preserve"> ou Formation</w:t>
            </w:r>
            <w:r w:rsidR="00F72E58" w:rsidRPr="004D3B37">
              <w:rPr>
                <w:b/>
                <w:szCs w:val="28"/>
              </w:rPr>
              <w:t>s</w:t>
            </w:r>
            <w:r w:rsidRPr="004D3B37">
              <w:rPr>
                <w:b/>
                <w:szCs w:val="28"/>
              </w:rPr>
              <w:t xml:space="preserve"> politique</w:t>
            </w:r>
            <w:r w:rsidR="00F72E58" w:rsidRPr="004D3B37">
              <w:rPr>
                <w:b/>
                <w:szCs w:val="28"/>
              </w:rPr>
              <w:t>s</w:t>
            </w:r>
            <w:r w:rsidRPr="004D3B37">
              <w:rPr>
                <w:b/>
                <w:szCs w:val="28"/>
              </w:rPr>
              <w:t xml:space="preserve"> et indépendant</w:t>
            </w:r>
            <w:r w:rsidR="00F72E58" w:rsidRPr="004D3B37">
              <w:rPr>
                <w:b/>
                <w:szCs w:val="28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24F0" w:rsidRPr="004D3B37" w:rsidRDefault="00592AA3" w:rsidP="008426CC">
            <w:pPr>
              <w:rPr>
                <w:b/>
                <w:szCs w:val="28"/>
              </w:rPr>
            </w:pPr>
            <w:r w:rsidRPr="004D3B37">
              <w:rPr>
                <w:b/>
                <w:szCs w:val="28"/>
              </w:rPr>
              <w:t>Nombre de</w:t>
            </w:r>
          </w:p>
          <w:p w:rsidR="00592AA3" w:rsidRPr="004D3B37" w:rsidRDefault="00592AA3" w:rsidP="008426CC">
            <w:pPr>
              <w:rPr>
                <w:b/>
                <w:szCs w:val="28"/>
              </w:rPr>
            </w:pPr>
            <w:r w:rsidRPr="004D3B37">
              <w:rPr>
                <w:b/>
                <w:szCs w:val="28"/>
              </w:rPr>
              <w:t xml:space="preserve"> citations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2AA3" w:rsidRPr="004D3B37" w:rsidRDefault="00592AA3" w:rsidP="008426CC">
            <w:pPr>
              <w:rPr>
                <w:b/>
                <w:szCs w:val="28"/>
              </w:rPr>
            </w:pPr>
            <w:r w:rsidRPr="004D3B37">
              <w:rPr>
                <w:b/>
                <w:szCs w:val="28"/>
              </w:rPr>
              <w:t>% de citation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AA3" w:rsidRPr="004D3B37" w:rsidRDefault="00592AA3" w:rsidP="008426CC">
            <w:pPr>
              <w:rPr>
                <w:b/>
                <w:szCs w:val="28"/>
              </w:rPr>
            </w:pPr>
            <w:r w:rsidRPr="004D3B37">
              <w:rPr>
                <w:b/>
                <w:szCs w:val="28"/>
              </w:rPr>
              <w:t>Localités concernées</w:t>
            </w:r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592AA3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Mouvement du Peuple pour le Progrès (MPP)</w:t>
            </w:r>
          </w:p>
        </w:tc>
        <w:tc>
          <w:tcPr>
            <w:tcW w:w="1275" w:type="dxa"/>
          </w:tcPr>
          <w:p w:rsidR="00592AA3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592AA3" w:rsidRDefault="003B3A18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50.21</w:t>
            </w:r>
          </w:p>
        </w:tc>
        <w:tc>
          <w:tcPr>
            <w:tcW w:w="1701" w:type="dxa"/>
          </w:tcPr>
          <w:p w:rsidR="00592AA3" w:rsidRDefault="00765A7E" w:rsidP="003B3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Bobo, Manga, Ouaga, Tenkodogo, Dédougou, Ouahigouya, </w:t>
            </w:r>
            <w:r w:rsidR="003B3A18">
              <w:rPr>
                <w:sz w:val="24"/>
                <w:szCs w:val="24"/>
              </w:rPr>
              <w:t xml:space="preserve">Koudougou, </w:t>
            </w:r>
            <w:r>
              <w:rPr>
                <w:sz w:val="24"/>
                <w:szCs w:val="24"/>
              </w:rPr>
              <w:t>Fada</w:t>
            </w:r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592AA3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pour le Progrès et le Changement (U.P.C)</w:t>
            </w:r>
          </w:p>
        </w:tc>
        <w:tc>
          <w:tcPr>
            <w:tcW w:w="1275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</w:t>
            </w:r>
          </w:p>
        </w:tc>
        <w:tc>
          <w:tcPr>
            <w:tcW w:w="1701" w:type="dxa"/>
          </w:tcPr>
          <w:p w:rsidR="00592AA3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Banfora,</w:t>
            </w:r>
            <w:r w:rsidR="00AE5E0E">
              <w:rPr>
                <w:sz w:val="24"/>
                <w:szCs w:val="24"/>
              </w:rPr>
              <w:t xml:space="preserve"> Bobo, Manga, Ouaga, Tenkodogo, Dédougou, Ouahigouya, Koudougou, Fada, Dori, Kaya</w:t>
            </w:r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592AA3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Congrès pour la Démocratie et le Progrès (C.D.P)</w:t>
            </w:r>
          </w:p>
        </w:tc>
        <w:tc>
          <w:tcPr>
            <w:tcW w:w="1275" w:type="dxa"/>
          </w:tcPr>
          <w:p w:rsidR="00592AA3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9.96</w:t>
            </w:r>
          </w:p>
        </w:tc>
        <w:tc>
          <w:tcPr>
            <w:tcW w:w="1701" w:type="dxa"/>
          </w:tcPr>
          <w:p w:rsidR="00592AA3" w:rsidRDefault="00AE5E0E" w:rsidP="003B3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Banfora, Bobo, Tenkodogo,  Ouahigouya, Koudougou, Kaya</w:t>
            </w:r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592AA3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des Forces Sociales (F.F.S)</w:t>
            </w:r>
          </w:p>
        </w:tc>
        <w:tc>
          <w:tcPr>
            <w:tcW w:w="1275" w:type="dxa"/>
          </w:tcPr>
          <w:p w:rsidR="00592AA3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1701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Bobo, Tenkodogo, Dédougou</w:t>
            </w:r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592AA3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 pour le Développement et le Changement (P.D.C)</w:t>
            </w:r>
          </w:p>
        </w:tc>
        <w:tc>
          <w:tcPr>
            <w:tcW w:w="1275" w:type="dxa"/>
          </w:tcPr>
          <w:p w:rsidR="00592AA3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701" w:type="dxa"/>
          </w:tcPr>
          <w:p w:rsidR="00592AA3" w:rsidRDefault="00AE5E0E" w:rsidP="004D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Banfora, </w:t>
            </w:r>
            <w:r w:rsidR="004D3B37">
              <w:rPr>
                <w:sz w:val="24"/>
                <w:szCs w:val="24"/>
              </w:rPr>
              <w:t>Koudougou</w:t>
            </w:r>
            <w:r w:rsidR="00FA2D69">
              <w:rPr>
                <w:sz w:val="24"/>
                <w:szCs w:val="24"/>
              </w:rPr>
              <w:t xml:space="preserve">, </w:t>
            </w:r>
            <w:proofErr w:type="spellStart"/>
            <w:r w:rsidR="00FA2D69">
              <w:rPr>
                <w:sz w:val="24"/>
                <w:szCs w:val="24"/>
              </w:rPr>
              <w:t>Dori</w:t>
            </w:r>
            <w:proofErr w:type="spellEnd"/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592AA3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Rassemblement des Démocrates pour le Faso (R.D.F)</w:t>
            </w:r>
          </w:p>
        </w:tc>
        <w:tc>
          <w:tcPr>
            <w:tcW w:w="1275" w:type="dxa"/>
          </w:tcPr>
          <w:p w:rsidR="00592AA3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701" w:type="dxa"/>
          </w:tcPr>
          <w:p w:rsidR="00592AA3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Dori, Ouahigouya</w:t>
            </w:r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63177C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Alliance pour</w:t>
            </w:r>
            <w:r w:rsidR="002419BF">
              <w:rPr>
                <w:sz w:val="24"/>
                <w:szCs w:val="24"/>
              </w:rPr>
              <w:t xml:space="preserve"> la Démocratie et la Fédération/ Rassemblement Démocratique Africain (A.D.F/R.D.A)</w:t>
            </w:r>
          </w:p>
        </w:tc>
        <w:tc>
          <w:tcPr>
            <w:tcW w:w="1275" w:type="dxa"/>
          </w:tcPr>
          <w:p w:rsidR="00592AA3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</w:p>
        </w:tc>
        <w:tc>
          <w:tcPr>
            <w:tcW w:w="1701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Ouahigouya</w:t>
            </w:r>
          </w:p>
        </w:tc>
      </w:tr>
      <w:tr w:rsidR="00592AA3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592AA3" w:rsidRDefault="002419BF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 AUTREMENT</w:t>
            </w:r>
          </w:p>
        </w:tc>
        <w:tc>
          <w:tcPr>
            <w:tcW w:w="1275" w:type="dxa"/>
          </w:tcPr>
          <w:p w:rsidR="00592AA3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</w:p>
        </w:tc>
        <w:tc>
          <w:tcPr>
            <w:tcW w:w="1701" w:type="dxa"/>
          </w:tcPr>
          <w:p w:rsidR="00592AA3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Banfora, </w:t>
            </w:r>
            <w:r w:rsidR="00FA2D69">
              <w:rPr>
                <w:sz w:val="24"/>
                <w:szCs w:val="24"/>
              </w:rPr>
              <w:t>Dédougou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04" w:type="dxa"/>
          </w:tcPr>
          <w:p w:rsidR="002419BF" w:rsidRDefault="007A60EB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Issaka ZA</w:t>
            </w:r>
            <w:r w:rsidR="002419BF">
              <w:rPr>
                <w:sz w:val="24"/>
                <w:szCs w:val="24"/>
              </w:rPr>
              <w:t>MPALIGRE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1701" w:type="dxa"/>
          </w:tcPr>
          <w:p w:rsidR="002419BF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Tenkodogo, Ouahigouya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2419BF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Mouvement pour la Démocratie en Afrique (M.D.A)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1701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Bobo, </w:t>
            </w:r>
            <w:r w:rsidR="00FA2D69">
              <w:rPr>
                <w:sz w:val="24"/>
                <w:szCs w:val="24"/>
              </w:rPr>
              <w:t>Ouahigouya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2419BF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 de la Renaissance Nationale (PA.RE.N)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1701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Fada, </w:t>
            </w:r>
            <w:r w:rsidR="00FA2D69">
              <w:rPr>
                <w:sz w:val="24"/>
                <w:szCs w:val="24"/>
              </w:rPr>
              <w:t>Tenkodogo</w:t>
            </w:r>
            <w:r>
              <w:rPr>
                <w:sz w:val="24"/>
                <w:szCs w:val="24"/>
              </w:rPr>
              <w:t>,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2419BF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 pour la Démocratie et le Socialisme/Parti des Bâtisseurs (P.D.S/METBA)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1701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A2D69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dougou,</w:t>
            </w:r>
            <w:r w:rsidR="00FA2D69">
              <w:rPr>
                <w:sz w:val="24"/>
                <w:szCs w:val="24"/>
              </w:rPr>
              <w:t xml:space="preserve"> Dori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2419BF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pour la Renaissance/Parti Sankariste (U.N.I.R/PS)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1701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Bobo, </w:t>
            </w:r>
            <w:r w:rsidR="00FA2D69">
              <w:rPr>
                <w:sz w:val="24"/>
                <w:szCs w:val="24"/>
              </w:rPr>
              <w:t>Kaya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Convergence Patriotique pour la Renaissance/Mouvement Progressiste (C.P.R/M.P)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1701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Koudougou (kindi)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Ligue des Jeunes pour l’Emploi et la Formation (L.J.E.F)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1701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 Alliance du Faso (NAFA)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1701" w:type="dxa"/>
          </w:tcPr>
          <w:p w:rsidR="002419BF" w:rsidRDefault="00FA2D69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Ouahigouya, Tenkodogo</w:t>
            </w:r>
          </w:p>
        </w:tc>
      </w:tr>
      <w:tr w:rsidR="002419BF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2419BF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Nouveau Temps pour la Démocratie (NTD)</w:t>
            </w:r>
          </w:p>
        </w:tc>
        <w:tc>
          <w:tcPr>
            <w:tcW w:w="1275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1701" w:type="dxa"/>
          </w:tcPr>
          <w:p w:rsidR="002419BF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Dédougou, </w:t>
            </w:r>
            <w:r w:rsidR="00FA2D69">
              <w:rPr>
                <w:sz w:val="24"/>
                <w:szCs w:val="24"/>
              </w:rPr>
              <w:t>Ouahigouya</w:t>
            </w:r>
          </w:p>
        </w:tc>
      </w:tr>
      <w:tr w:rsidR="00765A7E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765A7E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Rassemblement des Républicains (R.D.S)</w:t>
            </w:r>
          </w:p>
        </w:tc>
        <w:tc>
          <w:tcPr>
            <w:tcW w:w="1275" w:type="dxa"/>
          </w:tcPr>
          <w:p w:rsidR="00765A7E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5A7E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1701" w:type="dxa"/>
          </w:tcPr>
          <w:p w:rsidR="00765A7E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Ouahigouya, </w:t>
            </w:r>
            <w:r w:rsidR="00FA2D69">
              <w:rPr>
                <w:sz w:val="24"/>
                <w:szCs w:val="24"/>
              </w:rPr>
              <w:t>Dori</w:t>
            </w:r>
          </w:p>
        </w:tc>
      </w:tr>
      <w:tr w:rsidR="00765A7E" w:rsidTr="00DD3510">
        <w:tblPrEx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6204" w:type="dxa"/>
          </w:tcPr>
          <w:p w:rsidR="00765A7E" w:rsidRDefault="00765A7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Françoise TOE</w:t>
            </w:r>
          </w:p>
        </w:tc>
        <w:tc>
          <w:tcPr>
            <w:tcW w:w="1275" w:type="dxa"/>
          </w:tcPr>
          <w:p w:rsidR="00765A7E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5A7E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1701" w:type="dxa"/>
          </w:tcPr>
          <w:p w:rsidR="00765A7E" w:rsidRDefault="00AE5E0E" w:rsidP="0084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Tenkodogo</w:t>
            </w:r>
          </w:p>
        </w:tc>
      </w:tr>
    </w:tbl>
    <w:p w:rsidR="007A60EB" w:rsidRDefault="007A60EB" w:rsidP="008426CC">
      <w:pPr>
        <w:rPr>
          <w:sz w:val="24"/>
          <w:szCs w:val="24"/>
        </w:rPr>
      </w:pPr>
    </w:p>
    <w:p w:rsidR="00B52EC2" w:rsidRPr="00B52EC2" w:rsidRDefault="00B52EC2" w:rsidP="008426CC">
      <w:pPr>
        <w:rPr>
          <w:b/>
          <w:sz w:val="24"/>
          <w:szCs w:val="24"/>
        </w:rPr>
      </w:pPr>
      <w:r w:rsidRPr="00B52EC2">
        <w:rPr>
          <w:b/>
          <w:sz w:val="24"/>
          <w:szCs w:val="24"/>
        </w:rPr>
        <w:t>Annick Kaboré (Stagiaire)</w:t>
      </w:r>
    </w:p>
    <w:p w:rsidR="005226FD" w:rsidRPr="00B52EC2" w:rsidRDefault="00B52EC2" w:rsidP="008426CC">
      <w:pPr>
        <w:rPr>
          <w:b/>
          <w:sz w:val="24"/>
          <w:szCs w:val="24"/>
        </w:rPr>
      </w:pPr>
      <w:r w:rsidRPr="00B52EC2">
        <w:rPr>
          <w:b/>
          <w:sz w:val="24"/>
          <w:szCs w:val="24"/>
        </w:rPr>
        <w:t>Lefaso.net</w:t>
      </w:r>
      <w:bookmarkStart w:id="0" w:name="_GoBack"/>
      <w:bookmarkEnd w:id="0"/>
    </w:p>
    <w:sectPr w:rsidR="005226FD" w:rsidRPr="00B52EC2" w:rsidSect="0008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BA"/>
    <w:multiLevelType w:val="hybridMultilevel"/>
    <w:tmpl w:val="CCEAD40A"/>
    <w:lvl w:ilvl="0" w:tplc="816CAAFA">
      <w:start w:val="1"/>
      <w:numFmt w:val="bullet"/>
      <w:lvlText w:val="-"/>
      <w:lvlJc w:val="left"/>
      <w:pPr>
        <w:ind w:left="77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E5ABD"/>
    <w:rsid w:val="000135BA"/>
    <w:rsid w:val="00020FBB"/>
    <w:rsid w:val="00023034"/>
    <w:rsid w:val="00036B30"/>
    <w:rsid w:val="00045D42"/>
    <w:rsid w:val="00051DE9"/>
    <w:rsid w:val="00057115"/>
    <w:rsid w:val="00084B49"/>
    <w:rsid w:val="000A421C"/>
    <w:rsid w:val="000B639B"/>
    <w:rsid w:val="000C143C"/>
    <w:rsid w:val="000E4FD9"/>
    <w:rsid w:val="000E5433"/>
    <w:rsid w:val="000E7B76"/>
    <w:rsid w:val="000F7636"/>
    <w:rsid w:val="00102B66"/>
    <w:rsid w:val="00105B5C"/>
    <w:rsid w:val="0012460E"/>
    <w:rsid w:val="00156D4E"/>
    <w:rsid w:val="001940E8"/>
    <w:rsid w:val="001A71F7"/>
    <w:rsid w:val="001C44B8"/>
    <w:rsid w:val="001D316C"/>
    <w:rsid w:val="00206511"/>
    <w:rsid w:val="00216EAF"/>
    <w:rsid w:val="00237248"/>
    <w:rsid w:val="002419BF"/>
    <w:rsid w:val="0024465D"/>
    <w:rsid w:val="00251A09"/>
    <w:rsid w:val="0026524F"/>
    <w:rsid w:val="002742CE"/>
    <w:rsid w:val="00293C65"/>
    <w:rsid w:val="00294C3E"/>
    <w:rsid w:val="002A7B65"/>
    <w:rsid w:val="002C5803"/>
    <w:rsid w:val="002E759D"/>
    <w:rsid w:val="002F5A35"/>
    <w:rsid w:val="00303AFB"/>
    <w:rsid w:val="00327D7B"/>
    <w:rsid w:val="00337152"/>
    <w:rsid w:val="00341F39"/>
    <w:rsid w:val="0035069C"/>
    <w:rsid w:val="00353A80"/>
    <w:rsid w:val="00372DCB"/>
    <w:rsid w:val="00377F2A"/>
    <w:rsid w:val="003819F4"/>
    <w:rsid w:val="003B3A18"/>
    <w:rsid w:val="003B4DAF"/>
    <w:rsid w:val="003D3503"/>
    <w:rsid w:val="003E3A06"/>
    <w:rsid w:val="0040131E"/>
    <w:rsid w:val="00407F28"/>
    <w:rsid w:val="00416ED0"/>
    <w:rsid w:val="004306AF"/>
    <w:rsid w:val="00434D2B"/>
    <w:rsid w:val="004404DC"/>
    <w:rsid w:val="00441F60"/>
    <w:rsid w:val="00445BF2"/>
    <w:rsid w:val="00460C6A"/>
    <w:rsid w:val="00464789"/>
    <w:rsid w:val="00472070"/>
    <w:rsid w:val="00474FDD"/>
    <w:rsid w:val="00480D8B"/>
    <w:rsid w:val="00484072"/>
    <w:rsid w:val="004A2B7C"/>
    <w:rsid w:val="004A2F7B"/>
    <w:rsid w:val="004A36F9"/>
    <w:rsid w:val="004B0BF8"/>
    <w:rsid w:val="004B6D4F"/>
    <w:rsid w:val="004C5FE6"/>
    <w:rsid w:val="004D3B37"/>
    <w:rsid w:val="004E28A6"/>
    <w:rsid w:val="005079BE"/>
    <w:rsid w:val="005226FD"/>
    <w:rsid w:val="00522B54"/>
    <w:rsid w:val="005474BA"/>
    <w:rsid w:val="00553594"/>
    <w:rsid w:val="00556107"/>
    <w:rsid w:val="0056098F"/>
    <w:rsid w:val="005679DC"/>
    <w:rsid w:val="00574BE4"/>
    <w:rsid w:val="00575F82"/>
    <w:rsid w:val="0059225D"/>
    <w:rsid w:val="00592AA3"/>
    <w:rsid w:val="005B4D9F"/>
    <w:rsid w:val="005E7B5E"/>
    <w:rsid w:val="005F03C8"/>
    <w:rsid w:val="005F5466"/>
    <w:rsid w:val="006033B7"/>
    <w:rsid w:val="00607FD0"/>
    <w:rsid w:val="006308C0"/>
    <w:rsid w:val="0063177C"/>
    <w:rsid w:val="006717CC"/>
    <w:rsid w:val="00684987"/>
    <w:rsid w:val="006A1C49"/>
    <w:rsid w:val="006A3FB2"/>
    <w:rsid w:val="006C5ABB"/>
    <w:rsid w:val="006D381B"/>
    <w:rsid w:val="006D57CB"/>
    <w:rsid w:val="006D6C11"/>
    <w:rsid w:val="006E5ABD"/>
    <w:rsid w:val="00702E7F"/>
    <w:rsid w:val="0075058E"/>
    <w:rsid w:val="00750C8D"/>
    <w:rsid w:val="0076166C"/>
    <w:rsid w:val="00762D52"/>
    <w:rsid w:val="00765A7E"/>
    <w:rsid w:val="00777E72"/>
    <w:rsid w:val="00780A87"/>
    <w:rsid w:val="007A60EB"/>
    <w:rsid w:val="007C73A5"/>
    <w:rsid w:val="007E3DE0"/>
    <w:rsid w:val="007E7B27"/>
    <w:rsid w:val="007F0863"/>
    <w:rsid w:val="007F6709"/>
    <w:rsid w:val="007F7BCF"/>
    <w:rsid w:val="008249EC"/>
    <w:rsid w:val="00827E63"/>
    <w:rsid w:val="008426CC"/>
    <w:rsid w:val="00843C28"/>
    <w:rsid w:val="00854E63"/>
    <w:rsid w:val="00864D85"/>
    <w:rsid w:val="00885E5B"/>
    <w:rsid w:val="008D2FF8"/>
    <w:rsid w:val="008E4438"/>
    <w:rsid w:val="00910FBD"/>
    <w:rsid w:val="00922588"/>
    <w:rsid w:val="00942FB6"/>
    <w:rsid w:val="00967C93"/>
    <w:rsid w:val="00986B3A"/>
    <w:rsid w:val="00996646"/>
    <w:rsid w:val="009B784F"/>
    <w:rsid w:val="009C1E7B"/>
    <w:rsid w:val="009C59DE"/>
    <w:rsid w:val="009D48AB"/>
    <w:rsid w:val="009D7940"/>
    <w:rsid w:val="009E7B6E"/>
    <w:rsid w:val="009F2FF3"/>
    <w:rsid w:val="009F4306"/>
    <w:rsid w:val="009F5F6B"/>
    <w:rsid w:val="00A06158"/>
    <w:rsid w:val="00A261AC"/>
    <w:rsid w:val="00A42621"/>
    <w:rsid w:val="00A44661"/>
    <w:rsid w:val="00A56A62"/>
    <w:rsid w:val="00A66E48"/>
    <w:rsid w:val="00A75782"/>
    <w:rsid w:val="00A940E3"/>
    <w:rsid w:val="00AB5A32"/>
    <w:rsid w:val="00AC0A5E"/>
    <w:rsid w:val="00AD5814"/>
    <w:rsid w:val="00AE5E0E"/>
    <w:rsid w:val="00B126D3"/>
    <w:rsid w:val="00B12961"/>
    <w:rsid w:val="00B30169"/>
    <w:rsid w:val="00B33EDA"/>
    <w:rsid w:val="00B40F42"/>
    <w:rsid w:val="00B452CB"/>
    <w:rsid w:val="00B46A90"/>
    <w:rsid w:val="00B52EC2"/>
    <w:rsid w:val="00B61A49"/>
    <w:rsid w:val="00B66C62"/>
    <w:rsid w:val="00B74417"/>
    <w:rsid w:val="00B86069"/>
    <w:rsid w:val="00BA0AA4"/>
    <w:rsid w:val="00BA776F"/>
    <w:rsid w:val="00BB15FC"/>
    <w:rsid w:val="00BB7102"/>
    <w:rsid w:val="00BC5F33"/>
    <w:rsid w:val="00BC6382"/>
    <w:rsid w:val="00BC78BF"/>
    <w:rsid w:val="00BF2098"/>
    <w:rsid w:val="00BF32F3"/>
    <w:rsid w:val="00C23157"/>
    <w:rsid w:val="00C2480E"/>
    <w:rsid w:val="00C45549"/>
    <w:rsid w:val="00C4678F"/>
    <w:rsid w:val="00C66B76"/>
    <w:rsid w:val="00C728EF"/>
    <w:rsid w:val="00C750DA"/>
    <w:rsid w:val="00C75740"/>
    <w:rsid w:val="00C80E01"/>
    <w:rsid w:val="00C907B2"/>
    <w:rsid w:val="00C9229E"/>
    <w:rsid w:val="00CA3714"/>
    <w:rsid w:val="00CC120E"/>
    <w:rsid w:val="00CE234A"/>
    <w:rsid w:val="00CF5AF0"/>
    <w:rsid w:val="00D13B8C"/>
    <w:rsid w:val="00D13F3F"/>
    <w:rsid w:val="00D26BA0"/>
    <w:rsid w:val="00D42611"/>
    <w:rsid w:val="00D536D5"/>
    <w:rsid w:val="00D54548"/>
    <w:rsid w:val="00D8294B"/>
    <w:rsid w:val="00D83001"/>
    <w:rsid w:val="00D93C2F"/>
    <w:rsid w:val="00DA206C"/>
    <w:rsid w:val="00DA440B"/>
    <w:rsid w:val="00DB0875"/>
    <w:rsid w:val="00DB11DB"/>
    <w:rsid w:val="00DD01F4"/>
    <w:rsid w:val="00DD0BE6"/>
    <w:rsid w:val="00DD3510"/>
    <w:rsid w:val="00DD549A"/>
    <w:rsid w:val="00E40559"/>
    <w:rsid w:val="00E43A6B"/>
    <w:rsid w:val="00E47750"/>
    <w:rsid w:val="00E51391"/>
    <w:rsid w:val="00E83B8E"/>
    <w:rsid w:val="00EA3352"/>
    <w:rsid w:val="00EA7086"/>
    <w:rsid w:val="00EB26EC"/>
    <w:rsid w:val="00EE7C42"/>
    <w:rsid w:val="00F024F0"/>
    <w:rsid w:val="00F03A49"/>
    <w:rsid w:val="00F05437"/>
    <w:rsid w:val="00F25BED"/>
    <w:rsid w:val="00F4681D"/>
    <w:rsid w:val="00F66DE4"/>
    <w:rsid w:val="00F72E58"/>
    <w:rsid w:val="00F8037C"/>
    <w:rsid w:val="00FA0133"/>
    <w:rsid w:val="00FA2D69"/>
    <w:rsid w:val="00FB0D6F"/>
    <w:rsid w:val="00FB45AE"/>
    <w:rsid w:val="00FB579F"/>
    <w:rsid w:val="00FD4CCC"/>
    <w:rsid w:val="00FE2B63"/>
    <w:rsid w:val="00FE5B7C"/>
    <w:rsid w:val="00FE7C40"/>
    <w:rsid w:val="00FF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6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6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HP</cp:lastModifiedBy>
  <cp:revision>16</cp:revision>
  <dcterms:created xsi:type="dcterms:W3CDTF">2016-01-12T13:19:00Z</dcterms:created>
  <dcterms:modified xsi:type="dcterms:W3CDTF">2016-01-12T18:30:00Z</dcterms:modified>
</cp:coreProperties>
</file>