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1B" w:rsidRPr="007240D9" w:rsidRDefault="005D65A8" w:rsidP="00432FEB">
      <w:pPr>
        <w:spacing w:line="240" w:lineRule="auto"/>
        <w:jc w:val="center"/>
        <w:rPr>
          <w:rFonts w:cstheme="minorHAnsi"/>
          <w:b/>
          <w:i/>
          <w:color w:val="00B0F0"/>
          <w:sz w:val="28"/>
        </w:rPr>
      </w:pPr>
      <w:r>
        <w:rPr>
          <w:rFonts w:cstheme="minorHAnsi"/>
          <w:b/>
          <w:i/>
          <w:color w:val="00B0F0"/>
          <w:sz w:val="28"/>
        </w:rPr>
        <w:t>Analyse comparative du n</w:t>
      </w:r>
      <w:r w:rsidR="00F2151B" w:rsidRPr="007240D9">
        <w:rPr>
          <w:rFonts w:cstheme="minorHAnsi"/>
          <w:b/>
          <w:i/>
          <w:color w:val="00B0F0"/>
          <w:sz w:val="28"/>
        </w:rPr>
        <w:t xml:space="preserve">iveau de prise en compte de l’eau potable, </w:t>
      </w:r>
      <w:r w:rsidR="004A33BB">
        <w:rPr>
          <w:rFonts w:cstheme="minorHAnsi"/>
          <w:b/>
          <w:i/>
          <w:color w:val="00B0F0"/>
          <w:sz w:val="28"/>
        </w:rPr>
        <w:t>l’</w:t>
      </w:r>
      <w:r w:rsidR="00F2151B" w:rsidRPr="007240D9">
        <w:rPr>
          <w:rFonts w:cstheme="minorHAnsi"/>
          <w:b/>
          <w:i/>
          <w:color w:val="00B0F0"/>
          <w:sz w:val="28"/>
        </w:rPr>
        <w:t xml:space="preserve">hygiène et </w:t>
      </w:r>
      <w:r w:rsidR="004A33BB">
        <w:rPr>
          <w:rFonts w:cstheme="minorHAnsi"/>
          <w:b/>
          <w:i/>
          <w:color w:val="00B0F0"/>
          <w:sz w:val="28"/>
        </w:rPr>
        <w:t>l’</w:t>
      </w:r>
      <w:r w:rsidR="00F2151B" w:rsidRPr="007240D9">
        <w:rPr>
          <w:rFonts w:cstheme="minorHAnsi"/>
          <w:b/>
          <w:i/>
          <w:color w:val="00B0F0"/>
          <w:sz w:val="28"/>
        </w:rPr>
        <w:t>assainissement dans les projets de société de</w:t>
      </w:r>
      <w:r w:rsidR="00241B34">
        <w:rPr>
          <w:rFonts w:cstheme="minorHAnsi"/>
          <w:b/>
          <w:i/>
          <w:color w:val="00B0F0"/>
          <w:sz w:val="28"/>
        </w:rPr>
        <w:t xml:space="preserve"> quelque</w:t>
      </w:r>
      <w:r w:rsidR="00F2151B" w:rsidRPr="007240D9">
        <w:rPr>
          <w:rFonts w:cstheme="minorHAnsi"/>
          <w:b/>
          <w:i/>
          <w:color w:val="00B0F0"/>
          <w:sz w:val="28"/>
        </w:rPr>
        <w:t xml:space="preserve">s candidats </w:t>
      </w:r>
      <w:r w:rsidR="00795B00">
        <w:rPr>
          <w:rFonts w:cstheme="minorHAnsi"/>
          <w:b/>
          <w:i/>
          <w:color w:val="00B0F0"/>
          <w:sz w:val="28"/>
        </w:rPr>
        <w:t>à l’</w:t>
      </w:r>
      <w:r w:rsidR="00F2151B" w:rsidRPr="007240D9">
        <w:rPr>
          <w:rFonts w:cstheme="minorHAnsi"/>
          <w:b/>
          <w:i/>
          <w:color w:val="00B0F0"/>
          <w:sz w:val="28"/>
        </w:rPr>
        <w:t>élection présidentielle</w:t>
      </w:r>
      <w:r w:rsidR="00795B00">
        <w:rPr>
          <w:rFonts w:cstheme="minorHAnsi"/>
          <w:b/>
          <w:i/>
          <w:color w:val="00B0F0"/>
          <w:sz w:val="28"/>
        </w:rPr>
        <w:t xml:space="preserve"> </w:t>
      </w:r>
      <w:r>
        <w:rPr>
          <w:rFonts w:cstheme="minorHAnsi"/>
          <w:b/>
          <w:i/>
          <w:color w:val="00B0F0"/>
          <w:sz w:val="28"/>
        </w:rPr>
        <w:t>du 22 novembre 2020</w:t>
      </w:r>
      <w:bookmarkStart w:id="0" w:name="_GoBack"/>
      <w:bookmarkEnd w:id="0"/>
    </w:p>
    <w:tbl>
      <w:tblPr>
        <w:tblStyle w:val="TableGrid"/>
        <w:tblW w:w="14310" w:type="dxa"/>
        <w:tblInd w:w="-455" w:type="dxa"/>
        <w:tblLook w:val="04A0" w:firstRow="1" w:lastRow="0" w:firstColumn="1" w:lastColumn="0" w:noHBand="0" w:noVBand="1"/>
      </w:tblPr>
      <w:tblGrid>
        <w:gridCol w:w="2250"/>
        <w:gridCol w:w="5760"/>
        <w:gridCol w:w="3240"/>
        <w:gridCol w:w="3060"/>
      </w:tblGrid>
      <w:tr w:rsidR="00FC3570" w:rsidRPr="00A35021" w:rsidTr="00566995">
        <w:tc>
          <w:tcPr>
            <w:tcW w:w="14310" w:type="dxa"/>
            <w:gridSpan w:val="4"/>
          </w:tcPr>
          <w:p w:rsidR="00FC3570" w:rsidRPr="00A35021" w:rsidRDefault="00FC3570" w:rsidP="00B20C65">
            <w:pPr>
              <w:shd w:val="clear" w:color="auto" w:fill="00B0F0"/>
              <w:spacing w:after="0" w:line="240" w:lineRule="auto"/>
              <w:rPr>
                <w:rFonts w:cstheme="minorHAnsi"/>
                <w:i/>
                <w:color w:val="FFFFFF" w:themeColor="background1"/>
              </w:rPr>
            </w:pPr>
            <w:proofErr w:type="spellStart"/>
            <w:r w:rsidRPr="00A35021">
              <w:rPr>
                <w:rFonts w:eastAsia="Times New Roman" w:cstheme="minorHAnsi"/>
                <w:b/>
                <w:i/>
                <w:color w:val="FFFFFF" w:themeColor="background1"/>
                <w:lang w:eastAsia="en-GB"/>
              </w:rPr>
              <w:t>Yéli</w:t>
            </w:r>
            <w:proofErr w:type="spellEnd"/>
            <w:r w:rsidRPr="00A35021">
              <w:rPr>
                <w:rFonts w:eastAsia="Times New Roman" w:cstheme="minorHAnsi"/>
                <w:b/>
                <w:i/>
                <w:color w:val="FFFFFF" w:themeColor="background1"/>
                <w:lang w:eastAsia="en-GB"/>
              </w:rPr>
              <w:t xml:space="preserve"> Monique Kam, candidate du Mouvement pour la Renaissance</w:t>
            </w:r>
            <w:r w:rsidR="0062628D">
              <w:rPr>
                <w:rFonts w:eastAsia="Times New Roman" w:cstheme="minorHAnsi"/>
                <w:b/>
                <w:i/>
                <w:color w:val="FFFFFF" w:themeColor="background1"/>
                <w:lang w:eastAsia="en-GB"/>
              </w:rPr>
              <w:t xml:space="preserve"> du Burkina</w:t>
            </w:r>
            <w:r w:rsidRPr="00A35021">
              <w:rPr>
                <w:rFonts w:eastAsia="Times New Roman" w:cstheme="minorHAnsi"/>
                <w:b/>
                <w:i/>
                <w:color w:val="FFFFFF" w:themeColor="background1"/>
                <w:lang w:eastAsia="en-GB"/>
              </w:rPr>
              <w:t xml:space="preserve"> (MRB)</w:t>
            </w:r>
            <w:r w:rsidRPr="00A35021">
              <w:rPr>
                <w:rFonts w:cstheme="minorHAnsi"/>
                <w:i/>
                <w:color w:val="FFFFFF" w:themeColor="background1"/>
              </w:rPr>
              <w:t xml:space="preserve"> </w:t>
            </w:r>
          </w:p>
          <w:p w:rsidR="00A01225" w:rsidRPr="00A35021" w:rsidRDefault="00A01225" w:rsidP="00B20C65">
            <w:pPr>
              <w:tabs>
                <w:tab w:val="left" w:pos="2545"/>
              </w:tabs>
              <w:spacing w:after="0" w:line="240" w:lineRule="auto"/>
              <w:jc w:val="both"/>
              <w:rPr>
                <w:rFonts w:cstheme="minorHAnsi"/>
                <w:i/>
              </w:rPr>
            </w:pPr>
          </w:p>
        </w:tc>
      </w:tr>
      <w:tr w:rsidR="00FC3570" w:rsidRPr="00A35021" w:rsidTr="00566995">
        <w:tblPrEx>
          <w:jc w:val="center"/>
          <w:tblInd w:w="0" w:type="dxa"/>
        </w:tblPrEx>
        <w:trPr>
          <w:jc w:val="center"/>
        </w:trPr>
        <w:tc>
          <w:tcPr>
            <w:tcW w:w="2250" w:type="dxa"/>
            <w:shd w:val="clear" w:color="auto" w:fill="00B0F0"/>
          </w:tcPr>
          <w:p w:rsidR="00FC3570" w:rsidRPr="00A35021" w:rsidRDefault="00FC357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 xml:space="preserve">Existence d’une vision/ orientation stratégique </w:t>
            </w:r>
          </w:p>
        </w:tc>
        <w:tc>
          <w:tcPr>
            <w:tcW w:w="5760" w:type="dxa"/>
            <w:shd w:val="clear" w:color="auto" w:fill="00B0F0"/>
          </w:tcPr>
          <w:p w:rsidR="00FC3570" w:rsidRPr="00A35021" w:rsidRDefault="00FC357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3240" w:type="dxa"/>
            <w:shd w:val="clear" w:color="auto" w:fill="00B0F0"/>
          </w:tcPr>
          <w:p w:rsidR="00FC3570" w:rsidRPr="00A35021" w:rsidRDefault="00FC357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3060" w:type="dxa"/>
            <w:shd w:val="clear" w:color="auto" w:fill="00B0F0"/>
          </w:tcPr>
          <w:p w:rsidR="00FC3570" w:rsidRPr="00A35021" w:rsidRDefault="00FC357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FC3570" w:rsidRPr="00A35021" w:rsidTr="00566995">
        <w:tblPrEx>
          <w:jc w:val="center"/>
          <w:tblInd w:w="0" w:type="dxa"/>
        </w:tblPrEx>
        <w:trPr>
          <w:jc w:val="center"/>
        </w:trPr>
        <w:tc>
          <w:tcPr>
            <w:tcW w:w="2250" w:type="dxa"/>
            <w:shd w:val="clear" w:color="auto" w:fill="auto"/>
          </w:tcPr>
          <w:p w:rsidR="00FC3570" w:rsidRPr="00A35021" w:rsidRDefault="00B516DC" w:rsidP="0021517F">
            <w:pPr>
              <w:spacing w:after="0" w:line="240" w:lineRule="auto"/>
              <w:jc w:val="both"/>
              <w:rPr>
                <w:rFonts w:eastAsia="Times New Roman" w:cstheme="minorHAnsi"/>
                <w:b/>
                <w:i/>
                <w:lang w:eastAsia="en-GB"/>
              </w:rPr>
            </w:pPr>
            <w:r w:rsidRPr="00B516DC">
              <w:rPr>
                <w:rFonts w:eastAsia="Times New Roman" w:cstheme="minorHAnsi"/>
                <w:b/>
                <w:i/>
                <w:lang w:eastAsia="en-GB"/>
              </w:rPr>
              <w:t>« Objectifs : Une eau potable pour tous à la fin de notre 1er mandat »</w:t>
            </w:r>
          </w:p>
        </w:tc>
        <w:tc>
          <w:tcPr>
            <w:tcW w:w="5760" w:type="dxa"/>
            <w:shd w:val="clear" w:color="auto" w:fill="auto"/>
          </w:tcPr>
          <w:p w:rsidR="00FC3570" w:rsidRPr="00A35021" w:rsidRDefault="00285DB3" w:rsidP="0021517F">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O</w:t>
            </w:r>
            <w:r w:rsidR="00FC3570" w:rsidRPr="00A35021">
              <w:rPr>
                <w:rFonts w:eastAsia="Times New Roman" w:cstheme="minorHAnsi"/>
                <w:i/>
                <w:lang w:eastAsia="en-GB"/>
              </w:rPr>
              <w:t>ffrir un accès à l’eau potable pour tous dans les 10 ans en zones urbaines et, dans les 15 ans en zones rurales ;</w:t>
            </w:r>
          </w:p>
          <w:p w:rsidR="00FC3570" w:rsidRPr="00A35021" w:rsidRDefault="00FC3570"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 xml:space="preserve">Dans les zones urbaines, </w:t>
            </w:r>
            <w:r w:rsidR="00285DB3">
              <w:rPr>
                <w:rFonts w:eastAsia="Times New Roman" w:cstheme="minorHAnsi"/>
                <w:i/>
                <w:lang w:eastAsia="en-GB"/>
              </w:rPr>
              <w:t>mettre</w:t>
            </w:r>
            <w:r w:rsidRPr="00A35021">
              <w:rPr>
                <w:rFonts w:eastAsia="Times New Roman" w:cstheme="minorHAnsi"/>
                <w:i/>
                <w:lang w:eastAsia="en-GB"/>
              </w:rPr>
              <w:t xml:space="preserve"> systématiquement en place le réseau d’adduction d’eau potable lors de la construction d’un réseau d’égouts ;</w:t>
            </w:r>
          </w:p>
          <w:p w:rsidR="00FC3570" w:rsidRPr="00A35021" w:rsidRDefault="00285DB3" w:rsidP="0021517F">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 xml:space="preserve">Exiger </w:t>
            </w:r>
            <w:r w:rsidR="00FC3570" w:rsidRPr="00A35021">
              <w:rPr>
                <w:rFonts w:eastAsia="Times New Roman" w:cstheme="minorHAnsi"/>
                <w:i/>
                <w:lang w:eastAsia="en-GB"/>
              </w:rPr>
              <w:t>l’installation effective d’un réseau parcellaire d’adduction d’eau potable comme un préalable à l’octroi d’un permis de bâtir pour les nouveaux lotissements ;</w:t>
            </w:r>
          </w:p>
          <w:p w:rsidR="00FC3570" w:rsidRPr="00A35021" w:rsidRDefault="00285DB3" w:rsidP="0021517F">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w:t>
            </w:r>
            <w:r w:rsidR="00FC3570" w:rsidRPr="00A35021">
              <w:rPr>
                <w:rFonts w:eastAsia="Times New Roman" w:cstheme="minorHAnsi"/>
                <w:i/>
                <w:lang w:eastAsia="en-GB"/>
              </w:rPr>
              <w:t>réer des zones dans lesquelles des bornes fontaines semi-publiques seront installées dans les quartiers dits à habitat spontané où il est difficile d’installer des canalisations d’eau dans tous les ménages ;</w:t>
            </w:r>
          </w:p>
          <w:p w:rsidR="00FC3570" w:rsidRDefault="00FC3570"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Dans les zones rurales, veiller à ce que chaque ménage se trouve à moins de 1km d’une borne fontaine semi-publique lorsque l’</w:t>
            </w:r>
            <w:r w:rsidR="00285DB3">
              <w:rPr>
                <w:rFonts w:eastAsia="Times New Roman" w:cstheme="minorHAnsi"/>
                <w:i/>
                <w:lang w:eastAsia="en-GB"/>
              </w:rPr>
              <w:t xml:space="preserve">habitat n’est pas très dispersé ; </w:t>
            </w:r>
          </w:p>
          <w:p w:rsidR="009B3826" w:rsidRPr="009B3826" w:rsidRDefault="00285DB3" w:rsidP="009B3826">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R</w:t>
            </w:r>
            <w:r w:rsidR="009B3826" w:rsidRPr="009B3826">
              <w:rPr>
                <w:rFonts w:eastAsia="Times New Roman" w:cstheme="minorHAnsi"/>
                <w:i/>
                <w:lang w:eastAsia="en-GB"/>
              </w:rPr>
              <w:t>éaliser un cadastre de la production et de l’accès à l’e</w:t>
            </w:r>
            <w:r w:rsidR="00642B68">
              <w:rPr>
                <w:rFonts w:eastAsia="Times New Roman" w:cstheme="minorHAnsi"/>
                <w:i/>
                <w:lang w:eastAsia="en-GB"/>
              </w:rPr>
              <w:t xml:space="preserve">au sur l’ensemble du territoire ; </w:t>
            </w:r>
            <w:r w:rsidR="009B3826" w:rsidRPr="009B3826">
              <w:rPr>
                <w:rFonts w:eastAsia="Times New Roman" w:cstheme="minorHAnsi"/>
                <w:i/>
                <w:lang w:eastAsia="en-GB"/>
              </w:rPr>
              <w:t xml:space="preserve"> </w:t>
            </w:r>
          </w:p>
          <w:p w:rsidR="009B3826" w:rsidRDefault="00285DB3" w:rsidP="00A12D0D">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M</w:t>
            </w:r>
            <w:r w:rsidR="009B3826" w:rsidRPr="009B3826">
              <w:rPr>
                <w:rFonts w:eastAsia="Times New Roman" w:cstheme="minorHAnsi"/>
                <w:i/>
                <w:lang w:eastAsia="en-GB"/>
              </w:rPr>
              <w:t>ettr</w:t>
            </w:r>
            <w:r>
              <w:rPr>
                <w:rFonts w:eastAsia="Times New Roman" w:cstheme="minorHAnsi"/>
                <w:i/>
                <w:lang w:eastAsia="en-GB"/>
              </w:rPr>
              <w:t>e</w:t>
            </w:r>
            <w:r w:rsidR="009B3826" w:rsidRPr="009B3826">
              <w:rPr>
                <w:rFonts w:eastAsia="Times New Roman" w:cstheme="minorHAnsi"/>
                <w:i/>
                <w:lang w:eastAsia="en-GB"/>
              </w:rPr>
              <w:t xml:space="preserve"> régulièrement à jour</w:t>
            </w:r>
            <w:r w:rsidR="00A12D0D">
              <w:rPr>
                <w:rFonts w:eastAsia="Times New Roman" w:cstheme="minorHAnsi"/>
                <w:i/>
                <w:lang w:eastAsia="en-GB"/>
              </w:rPr>
              <w:t xml:space="preserve"> le cadastre</w:t>
            </w:r>
            <w:r w:rsidR="009B3826" w:rsidRPr="009B3826">
              <w:rPr>
                <w:rFonts w:eastAsia="Times New Roman" w:cstheme="minorHAnsi"/>
                <w:i/>
                <w:lang w:eastAsia="en-GB"/>
              </w:rPr>
              <w:t xml:space="preserve"> </w:t>
            </w:r>
            <w:r w:rsidR="00A12D0D" w:rsidRPr="00A12D0D">
              <w:rPr>
                <w:rFonts w:eastAsia="Times New Roman" w:cstheme="minorHAnsi"/>
                <w:i/>
                <w:lang w:eastAsia="en-GB"/>
              </w:rPr>
              <w:t xml:space="preserve">de la production et de l’accès à l’eau </w:t>
            </w:r>
            <w:r w:rsidR="009B3826" w:rsidRPr="009B3826">
              <w:rPr>
                <w:rFonts w:eastAsia="Times New Roman" w:cstheme="minorHAnsi"/>
                <w:i/>
                <w:lang w:eastAsia="en-GB"/>
              </w:rPr>
              <w:t xml:space="preserve">informatisé et centralisé au Ministère de l’Énergie et de l’Eau. </w:t>
            </w:r>
          </w:p>
          <w:p w:rsidR="008E1C9E" w:rsidRDefault="008E1C9E" w:rsidP="008E1C9E">
            <w:pPr>
              <w:spacing w:after="0" w:line="240" w:lineRule="auto"/>
              <w:jc w:val="both"/>
              <w:rPr>
                <w:rFonts w:eastAsia="Times New Roman" w:cstheme="minorHAnsi"/>
                <w:i/>
                <w:lang w:eastAsia="en-GB"/>
              </w:rPr>
            </w:pPr>
          </w:p>
          <w:p w:rsidR="008E1C9E" w:rsidRPr="008E1C9E" w:rsidRDefault="008E1C9E" w:rsidP="008E1C9E">
            <w:pPr>
              <w:spacing w:after="0" w:line="240" w:lineRule="auto"/>
              <w:jc w:val="both"/>
              <w:rPr>
                <w:rFonts w:eastAsia="Times New Roman" w:cstheme="minorHAnsi"/>
                <w:b/>
                <w:i/>
                <w:lang w:eastAsia="en-GB"/>
              </w:rPr>
            </w:pPr>
            <w:r w:rsidRPr="008E1C9E">
              <w:rPr>
                <w:rFonts w:eastAsia="Times New Roman" w:cstheme="minorHAnsi"/>
                <w:b/>
                <w:i/>
                <w:lang w:eastAsia="en-GB"/>
              </w:rPr>
              <w:t>Assainissement et drainage</w:t>
            </w:r>
          </w:p>
          <w:p w:rsidR="008E1C9E" w:rsidRDefault="008E1C9E" w:rsidP="008E1C9E">
            <w:pPr>
              <w:spacing w:after="0" w:line="240" w:lineRule="auto"/>
              <w:jc w:val="both"/>
              <w:rPr>
                <w:rFonts w:eastAsia="Times New Roman" w:cstheme="minorHAnsi"/>
                <w:i/>
                <w:lang w:eastAsia="en-GB"/>
              </w:rPr>
            </w:pPr>
          </w:p>
          <w:p w:rsidR="008E1C9E" w:rsidRDefault="00285DB3" w:rsidP="008E1C9E">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Créer</w:t>
            </w:r>
            <w:r w:rsidR="008E1C9E" w:rsidRPr="008E1C9E">
              <w:rPr>
                <w:rFonts w:eastAsia="Times New Roman" w:cstheme="minorHAnsi"/>
                <w:i/>
                <w:lang w:eastAsia="en-GB"/>
              </w:rPr>
              <w:t xml:space="preserve"> au sein du Ministère des eaux deux directions spécialisées et entièrement responsables, l’une consacrée à </w:t>
            </w:r>
            <w:r w:rsidR="008E1C9E" w:rsidRPr="008E1C9E">
              <w:rPr>
                <w:rFonts w:eastAsia="Times New Roman" w:cstheme="minorHAnsi"/>
                <w:i/>
                <w:lang w:eastAsia="en-GB"/>
              </w:rPr>
              <w:lastRenderedPageBreak/>
              <w:t>la politique de traitement des eaux usées et l’autre responsable du drainage des eaux pluviales</w:t>
            </w:r>
            <w:r w:rsidR="00460BFB">
              <w:rPr>
                <w:rFonts w:eastAsia="Times New Roman" w:cstheme="minorHAnsi"/>
                <w:i/>
                <w:lang w:eastAsia="en-GB"/>
              </w:rPr>
              <w:t> ;</w:t>
            </w:r>
          </w:p>
          <w:p w:rsidR="00792FE1" w:rsidRDefault="00285DB3" w:rsidP="00792FE1">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R</w:t>
            </w:r>
            <w:r w:rsidR="00792FE1" w:rsidRPr="00792FE1">
              <w:rPr>
                <w:rFonts w:eastAsia="Times New Roman" w:cstheme="minorHAnsi"/>
                <w:i/>
                <w:lang w:eastAsia="en-GB"/>
              </w:rPr>
              <w:t>éaliser un système d’égouts pour la collecte des eaux usées</w:t>
            </w:r>
            <w:r w:rsidR="00792FE1">
              <w:rPr>
                <w:rFonts w:eastAsia="Times New Roman" w:cstheme="minorHAnsi"/>
                <w:i/>
                <w:lang w:eastAsia="en-GB"/>
              </w:rPr>
              <w:t xml:space="preserve"> </w:t>
            </w:r>
            <w:r w:rsidR="00792FE1" w:rsidRPr="00792FE1">
              <w:rPr>
                <w:rFonts w:eastAsia="Times New Roman" w:cstheme="minorHAnsi"/>
                <w:i/>
                <w:lang w:eastAsia="en-GB"/>
              </w:rPr>
              <w:t>entièrement construit avec d</w:t>
            </w:r>
            <w:r w:rsidR="00460BFB">
              <w:rPr>
                <w:rFonts w:eastAsia="Times New Roman" w:cstheme="minorHAnsi"/>
                <w:i/>
                <w:lang w:eastAsia="en-GB"/>
              </w:rPr>
              <w:t>es matériaux et produits locaux ;</w:t>
            </w:r>
          </w:p>
          <w:p w:rsidR="00DB638A" w:rsidRPr="00DB638A" w:rsidRDefault="00DB638A" w:rsidP="00DB638A">
            <w:pPr>
              <w:pStyle w:val="ListParagraph"/>
              <w:numPr>
                <w:ilvl w:val="0"/>
                <w:numId w:val="9"/>
              </w:numPr>
              <w:spacing w:after="0" w:line="240" w:lineRule="auto"/>
              <w:ind w:left="161" w:hanging="251"/>
              <w:jc w:val="both"/>
              <w:rPr>
                <w:rFonts w:eastAsia="Times New Roman" w:cstheme="minorHAnsi"/>
                <w:i/>
                <w:lang w:eastAsia="en-GB"/>
              </w:rPr>
            </w:pPr>
            <w:r w:rsidRPr="00DB638A">
              <w:rPr>
                <w:rFonts w:eastAsia="Times New Roman" w:cstheme="minorHAnsi"/>
                <w:i/>
                <w:lang w:eastAsia="en-GB"/>
              </w:rPr>
              <w:t>Construire un réseau d’égouttage dans les grandes métropoles</w:t>
            </w:r>
            <w:r w:rsidR="00285DB3">
              <w:rPr>
                <w:rFonts w:eastAsia="Times New Roman" w:cstheme="minorHAnsi"/>
                <w:i/>
                <w:lang w:eastAsia="en-GB"/>
              </w:rPr>
              <w:t xml:space="preserve"> ; </w:t>
            </w:r>
            <w:r w:rsidRPr="00DB638A">
              <w:rPr>
                <w:rFonts w:eastAsia="Times New Roman" w:cstheme="minorHAnsi"/>
                <w:i/>
                <w:lang w:eastAsia="en-GB"/>
              </w:rPr>
              <w:t xml:space="preserve"> </w:t>
            </w:r>
          </w:p>
          <w:p w:rsidR="00DB638A" w:rsidRPr="008E1C9E" w:rsidRDefault="00285DB3" w:rsidP="00DB638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R</w:t>
            </w:r>
            <w:r w:rsidR="00DB638A" w:rsidRPr="00DB638A">
              <w:rPr>
                <w:rFonts w:eastAsia="Times New Roman" w:cstheme="minorHAnsi"/>
                <w:i/>
                <w:lang w:eastAsia="en-GB"/>
              </w:rPr>
              <w:t>éaliser des études de faisabilité pour la mise en place d’un réseau d’égouttage séparé du réseau d’évacuation des eaux pluviales et de surface dans les entités territoriales de plus de 100 000 habitants</w:t>
            </w:r>
            <w:r>
              <w:rPr>
                <w:rFonts w:eastAsia="Times New Roman" w:cstheme="minorHAnsi"/>
                <w:i/>
                <w:lang w:eastAsia="en-GB"/>
              </w:rPr>
              <w:t xml:space="preserve">. </w:t>
            </w:r>
          </w:p>
        </w:tc>
        <w:tc>
          <w:tcPr>
            <w:tcW w:w="3240" w:type="dxa"/>
            <w:shd w:val="clear" w:color="auto" w:fill="auto"/>
          </w:tcPr>
          <w:p w:rsidR="00FC3570" w:rsidRDefault="0021481B" w:rsidP="0021481B">
            <w:pPr>
              <w:pStyle w:val="ListParagraph"/>
              <w:numPr>
                <w:ilvl w:val="0"/>
                <w:numId w:val="9"/>
              </w:numPr>
              <w:spacing w:after="0" w:line="240" w:lineRule="auto"/>
              <w:ind w:left="161" w:hanging="251"/>
              <w:jc w:val="both"/>
              <w:rPr>
                <w:rFonts w:eastAsia="Times New Roman" w:cstheme="minorHAnsi"/>
                <w:i/>
                <w:lang w:eastAsia="en-GB"/>
              </w:rPr>
            </w:pPr>
            <w:r w:rsidRPr="0021481B">
              <w:rPr>
                <w:rFonts w:eastAsia="Times New Roman" w:cstheme="minorHAnsi"/>
                <w:i/>
                <w:lang w:eastAsia="en-GB"/>
              </w:rPr>
              <w:lastRenderedPageBreak/>
              <w:t>Etablissement d’un cadastre d’accès à l’eau</w:t>
            </w:r>
            <w:r>
              <w:rPr>
                <w:rFonts w:eastAsia="Times New Roman" w:cstheme="minorHAnsi"/>
                <w:i/>
                <w:lang w:eastAsia="en-GB"/>
              </w:rPr>
              <w:t xml:space="preserve"> ; </w:t>
            </w:r>
          </w:p>
          <w:p w:rsidR="0021481B" w:rsidRDefault="0021481B" w:rsidP="0021481B">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w:t>
            </w:r>
            <w:r w:rsidRPr="0021481B">
              <w:rPr>
                <w:rFonts w:eastAsia="Times New Roman" w:cstheme="minorHAnsi"/>
                <w:i/>
                <w:lang w:eastAsia="en-GB"/>
              </w:rPr>
              <w:t>onstruction par l’État et les régions du réseau d’assainissement et de drainage</w:t>
            </w:r>
            <w:r>
              <w:rPr>
                <w:rFonts w:eastAsia="Times New Roman" w:cstheme="minorHAnsi"/>
                <w:i/>
                <w:lang w:eastAsia="en-GB"/>
              </w:rPr>
              <w:t xml:space="preserve"> ; </w:t>
            </w:r>
          </w:p>
          <w:p w:rsidR="00CD7553" w:rsidRPr="0021481B" w:rsidRDefault="00CD7553" w:rsidP="0021481B">
            <w:pPr>
              <w:pStyle w:val="ListParagraph"/>
              <w:numPr>
                <w:ilvl w:val="0"/>
                <w:numId w:val="9"/>
              </w:numPr>
              <w:spacing w:after="0" w:line="240" w:lineRule="auto"/>
              <w:ind w:left="161" w:hanging="251"/>
              <w:jc w:val="both"/>
              <w:rPr>
                <w:rFonts w:eastAsia="Times New Roman" w:cstheme="minorHAnsi"/>
                <w:i/>
                <w:lang w:eastAsia="en-GB"/>
              </w:rPr>
            </w:pPr>
            <w:r>
              <w:rPr>
                <w:rFonts w:cstheme="minorHAnsi"/>
                <w:i/>
              </w:rPr>
              <w:t xml:space="preserve">Création au sein </w:t>
            </w:r>
            <w:r w:rsidRPr="002C7268">
              <w:rPr>
                <w:rFonts w:cstheme="minorHAnsi"/>
                <w:i/>
              </w:rPr>
              <w:t xml:space="preserve">du Ministère des eaux </w:t>
            </w:r>
            <w:r w:rsidR="0028402F">
              <w:rPr>
                <w:rFonts w:cstheme="minorHAnsi"/>
                <w:i/>
              </w:rPr>
              <w:t xml:space="preserve">de </w:t>
            </w:r>
            <w:r w:rsidRPr="002C7268">
              <w:rPr>
                <w:rFonts w:cstheme="minorHAnsi"/>
                <w:i/>
              </w:rPr>
              <w:t>deux</w:t>
            </w:r>
            <w:r w:rsidR="0028402F">
              <w:rPr>
                <w:rFonts w:cstheme="minorHAnsi"/>
                <w:i/>
              </w:rPr>
              <w:t xml:space="preserve"> (2)</w:t>
            </w:r>
            <w:r w:rsidRPr="002C7268">
              <w:rPr>
                <w:rFonts w:cstheme="minorHAnsi"/>
                <w:i/>
              </w:rPr>
              <w:t xml:space="preserve"> directions spécialisées et entièrement responsables, l’une consacrée à la politique de traitement des eaux usées et l’autre responsable du drainage des eaux pluviales</w:t>
            </w:r>
            <w:r w:rsidR="0028402F">
              <w:rPr>
                <w:rFonts w:cstheme="minorHAnsi"/>
                <w:i/>
              </w:rPr>
              <w:t xml:space="preserve"> ; </w:t>
            </w:r>
          </w:p>
        </w:tc>
        <w:tc>
          <w:tcPr>
            <w:tcW w:w="3060" w:type="dxa"/>
            <w:shd w:val="clear" w:color="auto" w:fill="auto"/>
          </w:tcPr>
          <w:p w:rsidR="00FC3570" w:rsidRPr="00A35021" w:rsidRDefault="0092203E" w:rsidP="0021517F">
            <w:pPr>
              <w:pStyle w:val="Default"/>
              <w:rPr>
                <w:rFonts w:asciiTheme="minorHAnsi" w:hAnsiTheme="minorHAnsi" w:cstheme="minorHAnsi"/>
                <w:i/>
                <w:sz w:val="22"/>
                <w:szCs w:val="22"/>
                <w:lang w:val="fr-FR"/>
              </w:rPr>
            </w:pPr>
            <w:r>
              <w:rPr>
                <w:rFonts w:asciiTheme="minorHAnsi" w:hAnsiTheme="minorHAnsi" w:cstheme="minorHAnsi"/>
                <w:i/>
                <w:sz w:val="22"/>
                <w:szCs w:val="22"/>
                <w:lang w:val="fr-FR"/>
              </w:rPr>
              <w:t>Le coût estimatif n’est pas précisé</w:t>
            </w:r>
          </w:p>
        </w:tc>
      </w:tr>
    </w:tbl>
    <w:p w:rsidR="00C31E23" w:rsidRPr="00A35021" w:rsidRDefault="00FC3570" w:rsidP="00FC3570">
      <w:pPr>
        <w:tabs>
          <w:tab w:val="left" w:pos="920"/>
        </w:tabs>
        <w:rPr>
          <w:rFonts w:cstheme="minorHAnsi"/>
        </w:rPr>
      </w:pPr>
      <w:r w:rsidRPr="00A35021">
        <w:rPr>
          <w:rFonts w:cstheme="minorHAnsi"/>
        </w:rPr>
        <w:tab/>
      </w:r>
    </w:p>
    <w:tbl>
      <w:tblPr>
        <w:tblStyle w:val="TableGrid"/>
        <w:tblW w:w="14310" w:type="dxa"/>
        <w:tblInd w:w="-455" w:type="dxa"/>
        <w:tblLook w:val="04A0" w:firstRow="1" w:lastRow="0" w:firstColumn="1" w:lastColumn="0" w:noHBand="0" w:noVBand="1"/>
      </w:tblPr>
      <w:tblGrid>
        <w:gridCol w:w="2250"/>
        <w:gridCol w:w="5220"/>
        <w:gridCol w:w="3340"/>
        <w:gridCol w:w="3500"/>
      </w:tblGrid>
      <w:tr w:rsidR="00C31E23" w:rsidRPr="00A35021" w:rsidTr="003E3478">
        <w:tc>
          <w:tcPr>
            <w:tcW w:w="14310" w:type="dxa"/>
            <w:gridSpan w:val="4"/>
          </w:tcPr>
          <w:p w:rsidR="00C31E23" w:rsidRPr="00A35021" w:rsidRDefault="00C31E23" w:rsidP="0021517F">
            <w:pPr>
              <w:shd w:val="clear" w:color="auto" w:fill="00B0F0"/>
              <w:spacing w:after="0" w:line="240" w:lineRule="auto"/>
              <w:rPr>
                <w:rFonts w:eastAsia="Times New Roman" w:cstheme="minorHAnsi"/>
                <w:b/>
                <w:i/>
                <w:color w:val="FFFFFF" w:themeColor="background1"/>
                <w:lang w:eastAsia="en-GB"/>
              </w:rPr>
            </w:pPr>
            <w:proofErr w:type="spellStart"/>
            <w:r w:rsidRPr="00A35021">
              <w:rPr>
                <w:rFonts w:eastAsia="Times New Roman" w:cstheme="minorHAnsi"/>
                <w:b/>
                <w:i/>
                <w:color w:val="FFFFFF" w:themeColor="background1"/>
                <w:lang w:eastAsia="en-GB"/>
              </w:rPr>
              <w:t>Tahirou</w:t>
            </w:r>
            <w:proofErr w:type="spellEnd"/>
            <w:r w:rsidRPr="00A35021">
              <w:rPr>
                <w:rFonts w:eastAsia="Times New Roman" w:cstheme="minorHAnsi"/>
                <w:b/>
                <w:i/>
                <w:color w:val="FFFFFF" w:themeColor="background1"/>
                <w:lang w:eastAsia="en-GB"/>
              </w:rPr>
              <w:t xml:space="preserve"> Barry, Candidat du Mouvement pour le changement et la renaissance (MCR)</w:t>
            </w:r>
          </w:p>
          <w:p w:rsidR="002443B6" w:rsidRPr="00A35021" w:rsidRDefault="002443B6" w:rsidP="00B20C65">
            <w:pPr>
              <w:spacing w:after="0" w:line="240" w:lineRule="auto"/>
              <w:jc w:val="both"/>
              <w:rPr>
                <w:rFonts w:cstheme="minorHAnsi"/>
                <w:i/>
              </w:rPr>
            </w:pPr>
          </w:p>
        </w:tc>
      </w:tr>
      <w:tr w:rsidR="00C31E23" w:rsidRPr="00A35021" w:rsidTr="003E3478">
        <w:tblPrEx>
          <w:jc w:val="center"/>
          <w:tblInd w:w="0" w:type="dxa"/>
        </w:tblPrEx>
        <w:trPr>
          <w:jc w:val="center"/>
        </w:trPr>
        <w:tc>
          <w:tcPr>
            <w:tcW w:w="2250" w:type="dxa"/>
            <w:shd w:val="clear" w:color="auto" w:fill="00B0F0"/>
          </w:tcPr>
          <w:p w:rsidR="00C31E23" w:rsidRPr="00A35021" w:rsidRDefault="00C31E23"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 xml:space="preserve">Existence d’une vision/ orientation stratégique </w:t>
            </w:r>
          </w:p>
        </w:tc>
        <w:tc>
          <w:tcPr>
            <w:tcW w:w="5220" w:type="dxa"/>
            <w:shd w:val="clear" w:color="auto" w:fill="00B0F0"/>
          </w:tcPr>
          <w:p w:rsidR="00C31E23" w:rsidRPr="00A35021" w:rsidRDefault="00C31E23"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3340" w:type="dxa"/>
            <w:shd w:val="clear" w:color="auto" w:fill="00B0F0"/>
          </w:tcPr>
          <w:p w:rsidR="00C31E23" w:rsidRPr="00A35021" w:rsidRDefault="00C31E23"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3500" w:type="dxa"/>
            <w:shd w:val="clear" w:color="auto" w:fill="00B0F0"/>
          </w:tcPr>
          <w:p w:rsidR="00C31E23" w:rsidRPr="00A35021" w:rsidRDefault="00C31E23"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C31E23" w:rsidRPr="00A35021" w:rsidTr="003E3478">
        <w:tblPrEx>
          <w:jc w:val="center"/>
          <w:tblInd w:w="0" w:type="dxa"/>
        </w:tblPrEx>
        <w:trPr>
          <w:jc w:val="center"/>
        </w:trPr>
        <w:tc>
          <w:tcPr>
            <w:tcW w:w="2250" w:type="dxa"/>
            <w:shd w:val="clear" w:color="auto" w:fill="auto"/>
          </w:tcPr>
          <w:p w:rsidR="00C31E23" w:rsidRPr="0053100B" w:rsidRDefault="00C31E23" w:rsidP="0021517F">
            <w:pPr>
              <w:spacing w:after="0" w:line="240" w:lineRule="auto"/>
              <w:jc w:val="both"/>
              <w:rPr>
                <w:rFonts w:eastAsia="Times New Roman" w:cstheme="minorHAnsi"/>
                <w:b/>
                <w:i/>
                <w:lang w:eastAsia="en-GB"/>
              </w:rPr>
            </w:pPr>
            <w:r w:rsidRPr="0053100B">
              <w:rPr>
                <w:rFonts w:eastAsia="Times New Roman" w:cstheme="minorHAnsi"/>
                <w:b/>
                <w:i/>
                <w:lang w:eastAsia="en-GB"/>
              </w:rPr>
              <w:t>Pas de vision sectorielle clairement déclinée</w:t>
            </w:r>
          </w:p>
        </w:tc>
        <w:tc>
          <w:tcPr>
            <w:tcW w:w="5220" w:type="dxa"/>
            <w:shd w:val="clear" w:color="auto" w:fill="auto"/>
          </w:tcPr>
          <w:p w:rsidR="00726D13" w:rsidRPr="00726D13" w:rsidRDefault="00726D13" w:rsidP="0021517F">
            <w:pPr>
              <w:spacing w:after="0" w:line="240" w:lineRule="auto"/>
              <w:jc w:val="both"/>
              <w:rPr>
                <w:rFonts w:eastAsia="Times New Roman" w:cstheme="minorHAnsi"/>
                <w:b/>
                <w:i/>
                <w:lang w:eastAsia="en-GB"/>
              </w:rPr>
            </w:pPr>
            <w:r w:rsidRPr="00726D13">
              <w:rPr>
                <w:rFonts w:eastAsia="Times New Roman" w:cstheme="minorHAnsi"/>
                <w:b/>
                <w:i/>
                <w:lang w:eastAsia="en-GB"/>
              </w:rPr>
              <w:t xml:space="preserve">Pour l’accès à l’eau </w:t>
            </w:r>
          </w:p>
          <w:p w:rsidR="00C31E23" w:rsidRPr="00A35021" w:rsidRDefault="00C31E23" w:rsidP="0021517F">
            <w:pPr>
              <w:spacing w:after="0" w:line="240" w:lineRule="auto"/>
              <w:jc w:val="both"/>
              <w:rPr>
                <w:rFonts w:eastAsia="Times New Roman" w:cstheme="minorHAnsi"/>
                <w:i/>
                <w:lang w:eastAsia="en-GB"/>
              </w:rPr>
            </w:pPr>
            <w:r w:rsidRPr="00A35021">
              <w:rPr>
                <w:rFonts w:eastAsia="Times New Roman" w:cstheme="minorHAnsi"/>
                <w:i/>
                <w:lang w:eastAsia="en-GB"/>
              </w:rPr>
              <w:t>Le candidat promet d’engager une politique nationale de l’eau visant à assurer :</w:t>
            </w:r>
          </w:p>
          <w:p w:rsidR="00C31E23" w:rsidRPr="00A35021" w:rsidRDefault="00506EFE"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L’accès</w:t>
            </w:r>
            <w:r w:rsidR="00C31E23" w:rsidRPr="00A35021">
              <w:rPr>
                <w:rFonts w:eastAsia="Times New Roman" w:cstheme="minorHAnsi"/>
                <w:i/>
                <w:lang w:eastAsia="en-GB"/>
              </w:rPr>
              <w:t xml:space="preserve"> équitable et durable à l’eau potable et </w:t>
            </w:r>
            <w:r w:rsidR="0053100B">
              <w:rPr>
                <w:rFonts w:eastAsia="Times New Roman" w:cstheme="minorHAnsi"/>
                <w:i/>
                <w:lang w:eastAsia="en-GB"/>
              </w:rPr>
              <w:t>l’</w:t>
            </w:r>
            <w:r w:rsidR="00C31E23" w:rsidRPr="00A35021">
              <w:rPr>
                <w:rFonts w:eastAsia="Times New Roman" w:cstheme="minorHAnsi"/>
                <w:i/>
                <w:lang w:eastAsia="en-GB"/>
              </w:rPr>
              <w:t>assainissement ;</w:t>
            </w:r>
          </w:p>
          <w:p w:rsidR="00C31E23" w:rsidRPr="00A35021" w:rsidRDefault="00506EFE"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La</w:t>
            </w:r>
            <w:r w:rsidR="00C31E23" w:rsidRPr="00A35021">
              <w:rPr>
                <w:rFonts w:eastAsia="Times New Roman" w:cstheme="minorHAnsi"/>
                <w:i/>
                <w:lang w:eastAsia="en-GB"/>
              </w:rPr>
              <w:t xml:space="preserve"> préservation et la mobilisation des eaux de surface.</w:t>
            </w:r>
          </w:p>
          <w:p w:rsidR="00C31E23" w:rsidRPr="00A35021" w:rsidRDefault="00C31E23" w:rsidP="0021517F">
            <w:pPr>
              <w:spacing w:after="0" w:line="240" w:lineRule="auto"/>
              <w:ind w:left="-90"/>
              <w:jc w:val="both"/>
              <w:rPr>
                <w:rFonts w:eastAsia="Times New Roman" w:cstheme="minorHAnsi"/>
                <w:b/>
                <w:i/>
                <w:lang w:eastAsia="en-GB"/>
              </w:rPr>
            </w:pPr>
            <w:r w:rsidRPr="00A35021">
              <w:rPr>
                <w:rFonts w:eastAsia="Times New Roman" w:cstheme="minorHAnsi"/>
                <w:b/>
                <w:i/>
                <w:lang w:eastAsia="en-GB"/>
              </w:rPr>
              <w:t xml:space="preserve">Il promet également :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Mettre</w:t>
            </w:r>
            <w:r w:rsidR="00C31E23" w:rsidRPr="00A35021">
              <w:rPr>
                <w:rFonts w:eastAsia="Times New Roman" w:cstheme="minorHAnsi"/>
                <w:i/>
                <w:lang w:eastAsia="en-GB"/>
              </w:rPr>
              <w:t xml:space="preserve"> en œuvre un vaste programme de construction et de réhabilitation de barrages assorti d’une stratégie d’entretien et de maintenance de toutes ces infrastructures hydrauliques. Ainsi, 100 petits barrages d’un coût maximum de 5 milliards seront construits et 400 barrages seront réhabilités. A cet effet, une loi de programmation budgétaire triennale de six</w:t>
            </w:r>
            <w:r w:rsidR="0041060F">
              <w:rPr>
                <w:rFonts w:eastAsia="Times New Roman" w:cstheme="minorHAnsi"/>
                <w:i/>
                <w:lang w:eastAsia="en-GB"/>
              </w:rPr>
              <w:t>-</w:t>
            </w:r>
            <w:r w:rsidR="00241B34" w:rsidRPr="00A35021">
              <w:rPr>
                <w:rFonts w:eastAsia="Times New Roman" w:cstheme="minorHAnsi"/>
                <w:i/>
                <w:lang w:eastAsia="en-GB"/>
              </w:rPr>
              <w:t>cents</w:t>
            </w:r>
            <w:r w:rsidR="00C31E23" w:rsidRPr="00A35021">
              <w:rPr>
                <w:rFonts w:eastAsia="Times New Roman" w:cstheme="minorHAnsi"/>
                <w:i/>
                <w:lang w:eastAsia="en-GB"/>
              </w:rPr>
              <w:t xml:space="preserve"> (600) milliards sera soumise à l’Assemblée Nationale pour adoption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lastRenderedPageBreak/>
              <w:t>Assurer</w:t>
            </w:r>
            <w:r w:rsidR="00C31E23" w:rsidRPr="00A35021">
              <w:rPr>
                <w:rFonts w:eastAsia="Times New Roman" w:cstheme="minorHAnsi"/>
                <w:i/>
                <w:lang w:eastAsia="en-GB"/>
              </w:rPr>
              <w:t xml:space="preserve"> une mise à jour annuelle de la situation des eaux du pays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Renforcer</w:t>
            </w:r>
            <w:r w:rsidR="00C31E23" w:rsidRPr="00A35021">
              <w:rPr>
                <w:rFonts w:eastAsia="Times New Roman" w:cstheme="minorHAnsi"/>
                <w:i/>
                <w:lang w:eastAsia="en-GB"/>
              </w:rPr>
              <w:t xml:space="preserve"> le système de sécurisation des ouvrages de mobilisation de l’eau en vue de leur protection contre toutes actions de dégradation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Mettre</w:t>
            </w:r>
            <w:r w:rsidR="00C31E23" w:rsidRPr="00A35021">
              <w:rPr>
                <w:rFonts w:eastAsia="Times New Roman" w:cstheme="minorHAnsi"/>
                <w:i/>
                <w:lang w:eastAsia="en-GB"/>
              </w:rPr>
              <w:t xml:space="preserve"> en œuvre une politique hydro diplomatique avec les pays partageant les mêmes bassins versants internationaux fluviaux ou bassin hydrographique en vue de promouvoir notre capacité de mobilisation des eaux et d’une gestion rationnelle, concertée et durable de ces ressources en eau. Il s’agit de la volta, le Niger et la Comoé. La Volta à elle seule est partagée par six pays : Le Burkina Faso, la Cote d’Ivoire, le Mali, le Togo, le Benin et le Ghana.</w:t>
            </w:r>
          </w:p>
          <w:p w:rsidR="00C31E23"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Doter</w:t>
            </w:r>
            <w:r w:rsidR="00C31E23" w:rsidRPr="00A35021">
              <w:rPr>
                <w:rFonts w:eastAsia="Times New Roman" w:cstheme="minorHAnsi"/>
                <w:i/>
                <w:lang w:eastAsia="en-GB"/>
              </w:rPr>
              <w:t xml:space="preserve"> chaque localité d’ouvrages d’eau potable (forages et puits équipés de pompe) ;</w:t>
            </w:r>
          </w:p>
          <w:p w:rsidR="00726D13" w:rsidRDefault="00726D13" w:rsidP="00726D13">
            <w:pPr>
              <w:pStyle w:val="ListParagraph"/>
              <w:spacing w:after="0" w:line="240" w:lineRule="auto"/>
              <w:ind w:left="161"/>
              <w:jc w:val="both"/>
              <w:rPr>
                <w:rFonts w:eastAsia="Times New Roman" w:cstheme="minorHAnsi"/>
                <w:i/>
                <w:lang w:eastAsia="en-GB"/>
              </w:rPr>
            </w:pPr>
          </w:p>
          <w:p w:rsidR="00726D13" w:rsidRPr="00726D13" w:rsidRDefault="00726D13" w:rsidP="00726D13">
            <w:pPr>
              <w:spacing w:after="0" w:line="240" w:lineRule="auto"/>
              <w:jc w:val="both"/>
              <w:rPr>
                <w:rFonts w:eastAsia="Times New Roman" w:cstheme="minorHAnsi"/>
                <w:b/>
                <w:i/>
                <w:lang w:eastAsia="en-GB"/>
              </w:rPr>
            </w:pPr>
            <w:r w:rsidRPr="00726D13">
              <w:rPr>
                <w:rFonts w:eastAsia="Times New Roman" w:cstheme="minorHAnsi"/>
                <w:b/>
                <w:i/>
                <w:lang w:eastAsia="en-GB"/>
              </w:rPr>
              <w:t>Pour l’accès à l</w:t>
            </w:r>
            <w:r>
              <w:rPr>
                <w:rFonts w:eastAsia="Times New Roman" w:cstheme="minorHAnsi"/>
                <w:b/>
                <w:i/>
                <w:lang w:eastAsia="en-GB"/>
              </w:rPr>
              <w:t>’assainissement, le candidat s’engage à</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Favoriser</w:t>
            </w:r>
            <w:r w:rsidR="00C31E23" w:rsidRPr="00A35021">
              <w:rPr>
                <w:rFonts w:eastAsia="Times New Roman" w:cstheme="minorHAnsi"/>
                <w:i/>
                <w:lang w:eastAsia="en-GB"/>
              </w:rPr>
              <w:t xml:space="preserve"> et mettre en </w:t>
            </w:r>
            <w:r w:rsidR="00726D13" w:rsidRPr="00A35021">
              <w:rPr>
                <w:rFonts w:eastAsia="Times New Roman" w:cstheme="minorHAnsi"/>
                <w:i/>
                <w:lang w:eastAsia="en-GB"/>
              </w:rPr>
              <w:t>œuvre</w:t>
            </w:r>
            <w:r w:rsidR="00C31E23" w:rsidRPr="00A35021">
              <w:rPr>
                <w:rFonts w:eastAsia="Times New Roman" w:cstheme="minorHAnsi"/>
                <w:i/>
                <w:lang w:eastAsia="en-GB"/>
              </w:rPr>
              <w:t xml:space="preserve"> dans chaque commune des schémas directeurs d’assainissement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Assurer</w:t>
            </w:r>
            <w:r w:rsidR="00C31E23" w:rsidRPr="00A35021">
              <w:rPr>
                <w:rFonts w:eastAsia="Times New Roman" w:cstheme="minorHAnsi"/>
                <w:i/>
                <w:lang w:eastAsia="en-GB"/>
              </w:rPr>
              <w:t xml:space="preserve"> la fonctionnalité des ouvrages à travers la mise en place d</w:t>
            </w:r>
            <w:r w:rsidR="00726D13">
              <w:rPr>
                <w:rFonts w:eastAsia="Times New Roman" w:cstheme="minorHAnsi"/>
                <w:i/>
                <w:lang w:eastAsia="en-GB"/>
              </w:rPr>
              <w:t xml:space="preserve">es comités de gestion efficaces ; </w:t>
            </w:r>
          </w:p>
          <w:p w:rsidR="00C31E23" w:rsidRPr="00A35021" w:rsidRDefault="00A667E7"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Réaliser</w:t>
            </w:r>
            <w:r w:rsidR="00C31E23" w:rsidRPr="00A35021">
              <w:rPr>
                <w:rFonts w:eastAsia="Times New Roman" w:cstheme="minorHAnsi"/>
                <w:i/>
                <w:lang w:eastAsia="en-GB"/>
              </w:rPr>
              <w:t xml:space="preserve"> 400 000 latrines hygiéniques familiales et publiques à travers tout le pays.</w:t>
            </w:r>
          </w:p>
        </w:tc>
        <w:tc>
          <w:tcPr>
            <w:tcW w:w="3340" w:type="dxa"/>
            <w:shd w:val="clear" w:color="auto" w:fill="auto"/>
          </w:tcPr>
          <w:p w:rsidR="00C31E23" w:rsidRPr="00A35021" w:rsidRDefault="00C31E23" w:rsidP="0021517F">
            <w:pPr>
              <w:spacing w:after="0" w:line="240" w:lineRule="auto"/>
              <w:jc w:val="both"/>
              <w:rPr>
                <w:rFonts w:eastAsia="Times New Roman" w:cstheme="minorHAnsi"/>
                <w:i/>
                <w:lang w:eastAsia="en-GB"/>
              </w:rPr>
            </w:pPr>
            <w:r w:rsidRPr="00A35021">
              <w:rPr>
                <w:rFonts w:eastAsia="Times New Roman" w:cstheme="minorHAnsi"/>
                <w:i/>
                <w:lang w:eastAsia="en-GB"/>
              </w:rPr>
              <w:lastRenderedPageBreak/>
              <w:t xml:space="preserve">La stratégie déclinée par le candidat pour atteindre l’objectif d’un meilleur accès à l’eau potable et à l’assainissement est la mise en place d’un schéma directeur d’assainissement dans toutes les communes et un vaste programme de construction des ouvrages d’eau potables. </w:t>
            </w:r>
          </w:p>
        </w:tc>
        <w:tc>
          <w:tcPr>
            <w:tcW w:w="3500" w:type="dxa"/>
            <w:shd w:val="clear" w:color="auto" w:fill="auto"/>
          </w:tcPr>
          <w:p w:rsidR="00B20C65" w:rsidRDefault="00A667E7" w:rsidP="00A667E7">
            <w:pPr>
              <w:pStyle w:val="Default"/>
              <w:rPr>
                <w:rFonts w:asciiTheme="minorHAnsi" w:hAnsiTheme="minorHAnsi" w:cstheme="minorHAnsi"/>
                <w:i/>
                <w:sz w:val="22"/>
                <w:szCs w:val="22"/>
                <w:lang w:val="fr-FR"/>
              </w:rPr>
            </w:pPr>
            <w:r>
              <w:rPr>
                <w:rFonts w:asciiTheme="minorHAnsi" w:hAnsiTheme="minorHAnsi" w:cstheme="minorHAnsi"/>
                <w:i/>
                <w:sz w:val="22"/>
                <w:szCs w:val="22"/>
                <w:lang w:val="fr-FR"/>
              </w:rPr>
              <w:t xml:space="preserve">Le coût estimatif pour le volet eau et assainissement n’est pas spécifié. </w:t>
            </w:r>
          </w:p>
          <w:p w:rsidR="00B20C65" w:rsidRDefault="00B20C65" w:rsidP="00A667E7">
            <w:pPr>
              <w:pStyle w:val="Default"/>
              <w:rPr>
                <w:rFonts w:asciiTheme="minorHAnsi" w:hAnsiTheme="minorHAnsi" w:cstheme="minorHAnsi"/>
                <w:i/>
                <w:sz w:val="22"/>
                <w:szCs w:val="22"/>
                <w:lang w:val="fr-FR"/>
              </w:rPr>
            </w:pPr>
          </w:p>
          <w:p w:rsidR="00C31E23" w:rsidRPr="00A35021" w:rsidRDefault="00A667E7" w:rsidP="00A667E7">
            <w:pPr>
              <w:pStyle w:val="Default"/>
              <w:rPr>
                <w:rFonts w:asciiTheme="minorHAnsi" w:hAnsiTheme="minorHAnsi" w:cstheme="minorHAnsi"/>
                <w:i/>
                <w:sz w:val="22"/>
                <w:szCs w:val="22"/>
                <w:lang w:val="fr-FR"/>
              </w:rPr>
            </w:pPr>
            <w:r>
              <w:rPr>
                <w:rFonts w:asciiTheme="minorHAnsi" w:hAnsiTheme="minorHAnsi" w:cstheme="minorHAnsi"/>
                <w:i/>
                <w:sz w:val="22"/>
                <w:szCs w:val="22"/>
                <w:lang w:val="fr-FR"/>
              </w:rPr>
              <w:t>Cependant l</w:t>
            </w:r>
            <w:r w:rsidR="002E2BFA">
              <w:rPr>
                <w:rFonts w:asciiTheme="minorHAnsi" w:hAnsiTheme="minorHAnsi" w:cstheme="minorHAnsi"/>
                <w:i/>
                <w:sz w:val="22"/>
                <w:szCs w:val="22"/>
                <w:lang w:val="fr-FR"/>
              </w:rPr>
              <w:t>e candidat entend</w:t>
            </w:r>
            <w:r w:rsidR="00C31E23" w:rsidRPr="00A35021">
              <w:rPr>
                <w:rFonts w:asciiTheme="minorHAnsi" w:hAnsiTheme="minorHAnsi" w:cstheme="minorHAnsi"/>
                <w:i/>
                <w:sz w:val="22"/>
                <w:szCs w:val="22"/>
                <w:lang w:val="fr-FR"/>
              </w:rPr>
              <w:t xml:space="preserve"> mobiliser quinze mille (15 000) milliards en cinq (05) ans soit trois mille (3000) milliards par an pour affronter les défis du développement, de la justice, de la paix et de la cohésion sociale dans notre chère nation.</w:t>
            </w:r>
          </w:p>
        </w:tc>
      </w:tr>
    </w:tbl>
    <w:p w:rsidR="00C31E23" w:rsidRDefault="00C31E23" w:rsidP="00FC3570">
      <w:pPr>
        <w:tabs>
          <w:tab w:val="left" w:pos="920"/>
        </w:tabs>
        <w:rPr>
          <w:rFonts w:cstheme="minorHAnsi"/>
        </w:rPr>
      </w:pPr>
    </w:p>
    <w:p w:rsidR="006957DF" w:rsidRDefault="006957DF" w:rsidP="00FC3570">
      <w:pPr>
        <w:tabs>
          <w:tab w:val="left" w:pos="920"/>
        </w:tabs>
        <w:rPr>
          <w:rFonts w:cstheme="minorHAnsi"/>
        </w:rPr>
      </w:pPr>
    </w:p>
    <w:p w:rsidR="006957DF" w:rsidRDefault="006957DF" w:rsidP="00FC3570">
      <w:pPr>
        <w:tabs>
          <w:tab w:val="left" w:pos="920"/>
        </w:tabs>
        <w:rPr>
          <w:rFonts w:cstheme="minorHAnsi"/>
        </w:rPr>
      </w:pPr>
    </w:p>
    <w:p w:rsidR="006957DF" w:rsidRDefault="006957DF" w:rsidP="00FC3570">
      <w:pPr>
        <w:tabs>
          <w:tab w:val="left" w:pos="920"/>
        </w:tabs>
        <w:rPr>
          <w:rFonts w:cstheme="minorHAnsi"/>
        </w:rPr>
      </w:pPr>
    </w:p>
    <w:p w:rsidR="006957DF" w:rsidRPr="00A35021" w:rsidRDefault="006957DF" w:rsidP="00FC3570">
      <w:pPr>
        <w:tabs>
          <w:tab w:val="left" w:pos="920"/>
        </w:tabs>
        <w:rPr>
          <w:rFonts w:cstheme="minorHAnsi"/>
        </w:rPr>
      </w:pPr>
    </w:p>
    <w:tbl>
      <w:tblPr>
        <w:tblStyle w:val="TableGrid"/>
        <w:tblW w:w="13870" w:type="dxa"/>
        <w:jc w:val="center"/>
        <w:tblLook w:val="04A0" w:firstRow="1" w:lastRow="0" w:firstColumn="1" w:lastColumn="0" w:noHBand="0" w:noVBand="1"/>
      </w:tblPr>
      <w:tblGrid>
        <w:gridCol w:w="2790"/>
        <w:gridCol w:w="3865"/>
        <w:gridCol w:w="4680"/>
        <w:gridCol w:w="2535"/>
      </w:tblGrid>
      <w:tr w:rsidR="005725C8" w:rsidRPr="00A35021" w:rsidTr="0021517F">
        <w:trPr>
          <w:jc w:val="center"/>
        </w:trPr>
        <w:tc>
          <w:tcPr>
            <w:tcW w:w="13870" w:type="dxa"/>
            <w:gridSpan w:val="4"/>
          </w:tcPr>
          <w:p w:rsidR="005725C8" w:rsidRPr="00A35021" w:rsidRDefault="005725C8" w:rsidP="006957DF">
            <w:pPr>
              <w:shd w:val="clear" w:color="auto" w:fill="00B0F0"/>
              <w:spacing w:after="0" w:line="240" w:lineRule="auto"/>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lastRenderedPageBreak/>
              <w:t>Zéphirin DIABRE, candidat de l’Union pour le Progrès et le Changement (UPC)</w:t>
            </w:r>
          </w:p>
          <w:p w:rsidR="005725C8" w:rsidRPr="00A35021" w:rsidRDefault="005725C8" w:rsidP="006957DF">
            <w:pPr>
              <w:pStyle w:val="Default"/>
              <w:jc w:val="both"/>
              <w:rPr>
                <w:rFonts w:asciiTheme="minorHAnsi" w:hAnsiTheme="minorHAnsi" w:cstheme="minorHAnsi"/>
                <w:i/>
                <w:sz w:val="22"/>
                <w:szCs w:val="22"/>
                <w:lang w:val="fr-FR"/>
              </w:rPr>
            </w:pPr>
            <w:r w:rsidRPr="00A35021">
              <w:rPr>
                <w:rFonts w:asciiTheme="minorHAnsi" w:eastAsia="Times New Roman" w:hAnsiTheme="minorHAnsi" w:cstheme="minorHAnsi"/>
                <w:i/>
                <w:color w:val="000000" w:themeColor="text1"/>
                <w:sz w:val="22"/>
                <w:szCs w:val="22"/>
                <w:lang w:val="fr-FR" w:eastAsia="en-GB"/>
              </w:rPr>
              <w:t xml:space="preserve"> </w:t>
            </w:r>
          </w:p>
        </w:tc>
      </w:tr>
      <w:tr w:rsidR="005725C8" w:rsidRPr="00A35021" w:rsidTr="007D01B5">
        <w:trPr>
          <w:jc w:val="center"/>
        </w:trPr>
        <w:tc>
          <w:tcPr>
            <w:tcW w:w="2790" w:type="dxa"/>
            <w:shd w:val="clear" w:color="auto" w:fill="00B0F0"/>
          </w:tcPr>
          <w:p w:rsidR="005725C8" w:rsidRPr="00A35021" w:rsidRDefault="005725C8"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 xml:space="preserve">Existence d’une vision / orientation stratégique </w:t>
            </w:r>
          </w:p>
        </w:tc>
        <w:tc>
          <w:tcPr>
            <w:tcW w:w="3865" w:type="dxa"/>
            <w:shd w:val="clear" w:color="auto" w:fill="00B0F0"/>
          </w:tcPr>
          <w:p w:rsidR="005725C8" w:rsidRPr="00A35021" w:rsidRDefault="005725C8"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4680" w:type="dxa"/>
            <w:shd w:val="clear" w:color="auto" w:fill="00B0F0"/>
          </w:tcPr>
          <w:p w:rsidR="005725C8" w:rsidRPr="00A35021" w:rsidRDefault="005725C8"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2535" w:type="dxa"/>
            <w:shd w:val="clear" w:color="auto" w:fill="00B0F0"/>
          </w:tcPr>
          <w:p w:rsidR="005725C8" w:rsidRPr="00A35021" w:rsidRDefault="005725C8"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5725C8" w:rsidRPr="00A35021" w:rsidTr="007D01B5">
        <w:trPr>
          <w:jc w:val="center"/>
        </w:trPr>
        <w:tc>
          <w:tcPr>
            <w:tcW w:w="2790" w:type="dxa"/>
            <w:shd w:val="clear" w:color="auto" w:fill="auto"/>
          </w:tcPr>
          <w:p w:rsidR="005725C8" w:rsidRPr="00A35021" w:rsidRDefault="005725C8" w:rsidP="0021517F">
            <w:pPr>
              <w:spacing w:after="0" w:line="240" w:lineRule="auto"/>
              <w:jc w:val="both"/>
              <w:rPr>
                <w:rFonts w:eastAsia="Times New Roman" w:cstheme="minorHAnsi"/>
                <w:b/>
                <w:i/>
                <w:lang w:eastAsia="en-GB"/>
              </w:rPr>
            </w:pPr>
            <w:r w:rsidRPr="00A35021">
              <w:rPr>
                <w:rFonts w:eastAsia="Times New Roman" w:cstheme="minorHAnsi"/>
                <w:b/>
                <w:i/>
                <w:lang w:eastAsia="en-GB"/>
              </w:rPr>
              <w:t xml:space="preserve">Assurer </w:t>
            </w:r>
            <w:r w:rsidR="00E33CAB" w:rsidRPr="00A35021">
              <w:rPr>
                <w:rFonts w:eastAsia="Times New Roman" w:cstheme="minorHAnsi"/>
                <w:b/>
                <w:i/>
                <w:lang w:eastAsia="en-GB"/>
              </w:rPr>
              <w:t>à</w:t>
            </w:r>
            <w:r w:rsidRPr="00A35021">
              <w:rPr>
                <w:rFonts w:eastAsia="Times New Roman" w:cstheme="minorHAnsi"/>
                <w:b/>
                <w:i/>
                <w:lang w:eastAsia="en-GB"/>
              </w:rPr>
              <w:t xml:space="preserve"> chaque burkinabè un accès de proximité </w:t>
            </w:r>
            <w:r w:rsidR="00E33CAB">
              <w:rPr>
                <w:rFonts w:eastAsia="Times New Roman" w:cstheme="minorHAnsi"/>
                <w:b/>
                <w:i/>
                <w:lang w:eastAsia="en-GB"/>
              </w:rPr>
              <w:t>à</w:t>
            </w:r>
            <w:r w:rsidRPr="00A35021">
              <w:rPr>
                <w:rFonts w:eastAsia="Times New Roman" w:cstheme="minorHAnsi"/>
                <w:b/>
                <w:i/>
                <w:lang w:eastAsia="en-GB"/>
              </w:rPr>
              <w:t xml:space="preserve"> l’eau potable en quantité suffisante et </w:t>
            </w:r>
            <w:r w:rsidR="00E33CAB">
              <w:rPr>
                <w:rFonts w:eastAsia="Times New Roman" w:cstheme="minorHAnsi"/>
                <w:b/>
                <w:i/>
                <w:lang w:eastAsia="en-GB"/>
              </w:rPr>
              <w:t>à</w:t>
            </w:r>
            <w:r w:rsidR="00930642">
              <w:rPr>
                <w:rFonts w:eastAsia="Times New Roman" w:cstheme="minorHAnsi"/>
                <w:b/>
                <w:i/>
                <w:lang w:eastAsia="en-GB"/>
              </w:rPr>
              <w:t xml:space="preserve"> un cadre de vie assaini ; </w:t>
            </w:r>
            <w:r w:rsidR="00E33CAB">
              <w:rPr>
                <w:rFonts w:eastAsia="Times New Roman" w:cstheme="minorHAnsi"/>
                <w:b/>
                <w:i/>
                <w:lang w:eastAsia="en-GB"/>
              </w:rPr>
              <w:t xml:space="preserve"> </w:t>
            </w:r>
          </w:p>
          <w:p w:rsidR="005725C8" w:rsidRPr="00A35021" w:rsidRDefault="005725C8" w:rsidP="0021517F">
            <w:pPr>
              <w:spacing w:after="0" w:line="240" w:lineRule="auto"/>
              <w:jc w:val="both"/>
              <w:rPr>
                <w:rFonts w:eastAsia="Times New Roman" w:cstheme="minorHAnsi"/>
                <w:b/>
                <w:i/>
                <w:lang w:eastAsia="en-GB"/>
              </w:rPr>
            </w:pPr>
          </w:p>
          <w:p w:rsidR="005725C8" w:rsidRPr="00A35021" w:rsidRDefault="00510FF8" w:rsidP="001F2F7C">
            <w:pPr>
              <w:spacing w:after="0" w:line="240" w:lineRule="auto"/>
              <w:jc w:val="both"/>
              <w:rPr>
                <w:rFonts w:eastAsia="Times New Roman" w:cstheme="minorHAnsi"/>
                <w:b/>
                <w:i/>
                <w:lang w:eastAsia="en-GB"/>
              </w:rPr>
            </w:pPr>
            <w:r w:rsidRPr="00A35021">
              <w:rPr>
                <w:rFonts w:eastAsia="Times New Roman" w:cstheme="minorHAnsi"/>
                <w:b/>
                <w:i/>
                <w:lang w:eastAsia="en-GB"/>
              </w:rPr>
              <w:t>Assurer</w:t>
            </w:r>
            <w:r w:rsidR="005725C8" w:rsidRPr="00A35021">
              <w:rPr>
                <w:rFonts w:eastAsia="Times New Roman" w:cstheme="minorHAnsi"/>
                <w:b/>
                <w:i/>
                <w:lang w:eastAsia="en-GB"/>
              </w:rPr>
              <w:t xml:space="preserve"> la protection de la ressource</w:t>
            </w:r>
            <w:r w:rsidR="00F55ED2">
              <w:rPr>
                <w:rFonts w:eastAsia="Times New Roman" w:cstheme="minorHAnsi"/>
                <w:b/>
                <w:i/>
                <w:lang w:eastAsia="en-GB"/>
              </w:rPr>
              <w:t xml:space="preserve"> et la gérer </w:t>
            </w:r>
            <w:r w:rsidR="005725C8" w:rsidRPr="00A35021">
              <w:rPr>
                <w:rFonts w:eastAsia="Times New Roman" w:cstheme="minorHAnsi"/>
                <w:b/>
                <w:i/>
                <w:lang w:eastAsia="en-GB"/>
              </w:rPr>
              <w:t>dans une perspective de développement durable</w:t>
            </w:r>
            <w:r w:rsidR="00930642">
              <w:rPr>
                <w:rFonts w:eastAsia="Times New Roman" w:cstheme="minorHAnsi"/>
                <w:b/>
                <w:i/>
                <w:lang w:eastAsia="en-GB"/>
              </w:rPr>
              <w:t xml:space="preserve"> ; </w:t>
            </w:r>
            <w:r w:rsidR="001F2F7C">
              <w:rPr>
                <w:rFonts w:eastAsia="Times New Roman" w:cstheme="minorHAnsi"/>
                <w:b/>
                <w:i/>
                <w:lang w:eastAsia="en-GB"/>
              </w:rPr>
              <w:t xml:space="preserve"> </w:t>
            </w:r>
          </w:p>
          <w:p w:rsidR="005725C8" w:rsidRPr="00A35021" w:rsidRDefault="005725C8" w:rsidP="0021517F">
            <w:pPr>
              <w:spacing w:after="0" w:line="240" w:lineRule="auto"/>
              <w:jc w:val="both"/>
              <w:rPr>
                <w:rFonts w:eastAsia="Times New Roman" w:cstheme="minorHAnsi"/>
                <w:b/>
                <w:i/>
                <w:lang w:eastAsia="en-GB"/>
              </w:rPr>
            </w:pPr>
          </w:p>
          <w:p w:rsidR="005725C8" w:rsidRPr="00A35021" w:rsidRDefault="005725C8" w:rsidP="0021517F">
            <w:pPr>
              <w:spacing w:after="0" w:line="240" w:lineRule="auto"/>
              <w:jc w:val="both"/>
              <w:rPr>
                <w:rFonts w:eastAsia="Times New Roman" w:cstheme="minorHAnsi"/>
                <w:b/>
                <w:i/>
                <w:lang w:eastAsia="en-GB"/>
              </w:rPr>
            </w:pPr>
            <w:r w:rsidRPr="00A35021">
              <w:rPr>
                <w:rFonts w:eastAsia="Times New Roman" w:cstheme="minorHAnsi"/>
                <w:b/>
                <w:i/>
                <w:lang w:eastAsia="en-GB"/>
              </w:rPr>
              <w:t>Mon ambition est de promouvoir les latrines pour tous à l’horizon 2030</w:t>
            </w:r>
            <w:r w:rsidR="00C92E88">
              <w:rPr>
                <w:rFonts w:eastAsia="Times New Roman" w:cstheme="minorHAnsi"/>
                <w:b/>
                <w:i/>
                <w:lang w:eastAsia="en-GB"/>
              </w:rPr>
              <w:t xml:space="preserve"> (</w:t>
            </w:r>
            <w:r w:rsidR="00C92E88" w:rsidRPr="00A35021">
              <w:rPr>
                <w:rFonts w:cstheme="minorHAnsi"/>
                <w:b/>
                <w:bCs/>
                <w:i/>
              </w:rPr>
              <w:t>réaliser des latrines pour tous les ménages burkinabè</w:t>
            </w:r>
            <w:r w:rsidR="00C92E88">
              <w:rPr>
                <w:rFonts w:cstheme="minorHAnsi"/>
                <w:b/>
                <w:bCs/>
                <w:i/>
              </w:rPr>
              <w:t>)</w:t>
            </w:r>
          </w:p>
        </w:tc>
        <w:tc>
          <w:tcPr>
            <w:tcW w:w="3865" w:type="dxa"/>
            <w:shd w:val="clear" w:color="auto" w:fill="auto"/>
          </w:tcPr>
          <w:p w:rsidR="00CD2611" w:rsidRPr="00CD2611" w:rsidRDefault="00CD2611" w:rsidP="00CD2611">
            <w:pPr>
              <w:spacing w:after="0" w:line="240" w:lineRule="auto"/>
              <w:jc w:val="both"/>
              <w:rPr>
                <w:rFonts w:eastAsia="Times New Roman" w:cstheme="minorHAnsi"/>
                <w:b/>
                <w:i/>
                <w:u w:val="single"/>
                <w:lang w:eastAsia="en-GB"/>
              </w:rPr>
            </w:pPr>
            <w:r w:rsidRPr="00CD2611">
              <w:rPr>
                <w:rFonts w:eastAsia="Times New Roman" w:cstheme="minorHAnsi"/>
                <w:b/>
                <w:i/>
                <w:u w:val="single"/>
                <w:lang w:eastAsia="en-GB"/>
              </w:rPr>
              <w:t xml:space="preserve">Pour l’accès à l’eau </w:t>
            </w:r>
          </w:p>
          <w:p w:rsidR="005725C8" w:rsidRPr="00A35021" w:rsidRDefault="00A240B0" w:rsidP="008046C7">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F</w:t>
            </w:r>
            <w:r w:rsidR="005725C8" w:rsidRPr="00A35021">
              <w:rPr>
                <w:rFonts w:eastAsia="Times New Roman" w:cstheme="minorHAnsi"/>
                <w:i/>
                <w:lang w:eastAsia="en-GB"/>
              </w:rPr>
              <w:t>aire passer le taux d'accès à l'eau potable</w:t>
            </w:r>
            <w:r>
              <w:rPr>
                <w:rFonts w:eastAsia="Times New Roman" w:cstheme="minorHAnsi"/>
                <w:i/>
                <w:lang w:eastAsia="en-GB"/>
              </w:rPr>
              <w:t xml:space="preserve"> de 75,4% en 2019 à 90% en 2025 ; </w:t>
            </w:r>
          </w:p>
          <w:p w:rsidR="00A240B0" w:rsidRDefault="00F55ED2" w:rsidP="0021517F">
            <w:pPr>
              <w:pStyle w:val="ListParagraph"/>
              <w:numPr>
                <w:ilvl w:val="0"/>
                <w:numId w:val="9"/>
              </w:numPr>
              <w:spacing w:after="0" w:line="240" w:lineRule="auto"/>
              <w:ind w:left="161" w:hanging="251"/>
              <w:jc w:val="both"/>
              <w:rPr>
                <w:rFonts w:eastAsia="Times New Roman" w:cstheme="minorHAnsi"/>
                <w:i/>
                <w:lang w:eastAsia="en-GB"/>
              </w:rPr>
            </w:pPr>
            <w:r w:rsidRPr="00A240B0">
              <w:rPr>
                <w:rFonts w:eastAsia="Times New Roman" w:cstheme="minorHAnsi"/>
                <w:i/>
                <w:lang w:eastAsia="en-GB"/>
              </w:rPr>
              <w:t>Instruire</w:t>
            </w:r>
            <w:r w:rsidR="005725C8" w:rsidRPr="00A240B0">
              <w:rPr>
                <w:rFonts w:eastAsia="Times New Roman" w:cstheme="minorHAnsi"/>
                <w:i/>
                <w:lang w:eastAsia="en-GB"/>
              </w:rPr>
              <w:t xml:space="preserve"> la réalisation de 17 000 nouveaux points d’eau potable et de 600 réseaux d’Adductions d’eau potable simplifiés (AEPS) et la réhabilitation de tous les PEM et les AEPS en panne sur l’ensemble du territoire national</w:t>
            </w:r>
            <w:r w:rsidR="00A240B0" w:rsidRPr="00A240B0">
              <w:rPr>
                <w:rFonts w:eastAsia="Times New Roman" w:cstheme="minorHAnsi"/>
                <w:i/>
                <w:lang w:eastAsia="en-GB"/>
              </w:rPr>
              <w:t xml:space="preserve"> ; </w:t>
            </w:r>
          </w:p>
          <w:p w:rsidR="00A240B0" w:rsidRDefault="00F55ED2" w:rsidP="0021517F">
            <w:pPr>
              <w:pStyle w:val="ListParagraph"/>
              <w:numPr>
                <w:ilvl w:val="0"/>
                <w:numId w:val="9"/>
              </w:numPr>
              <w:spacing w:after="0" w:line="240" w:lineRule="auto"/>
              <w:ind w:left="161" w:hanging="251"/>
              <w:jc w:val="both"/>
              <w:rPr>
                <w:rFonts w:eastAsia="Times New Roman" w:cstheme="minorHAnsi"/>
                <w:i/>
                <w:lang w:eastAsia="en-GB"/>
              </w:rPr>
            </w:pPr>
            <w:r w:rsidRPr="00A240B0">
              <w:rPr>
                <w:rFonts w:eastAsia="Times New Roman" w:cstheme="minorHAnsi"/>
                <w:i/>
                <w:lang w:eastAsia="en-GB"/>
              </w:rPr>
              <w:t>Appli</w:t>
            </w:r>
            <w:r w:rsidR="00A240B0" w:rsidRPr="00A240B0">
              <w:rPr>
                <w:rFonts w:eastAsia="Times New Roman" w:cstheme="minorHAnsi"/>
                <w:i/>
                <w:lang w:eastAsia="en-GB"/>
              </w:rPr>
              <w:t xml:space="preserve">quer </w:t>
            </w:r>
            <w:r w:rsidR="005725C8" w:rsidRPr="00A240B0">
              <w:rPr>
                <w:rFonts w:eastAsia="Times New Roman" w:cstheme="minorHAnsi"/>
                <w:i/>
                <w:lang w:eastAsia="en-GB"/>
              </w:rPr>
              <w:t>rigoureuse</w:t>
            </w:r>
            <w:r w:rsidR="00A240B0" w:rsidRPr="00A240B0">
              <w:rPr>
                <w:rFonts w:eastAsia="Times New Roman" w:cstheme="minorHAnsi"/>
                <w:i/>
                <w:lang w:eastAsia="en-GB"/>
              </w:rPr>
              <w:t>ment</w:t>
            </w:r>
            <w:r w:rsidR="005725C8" w:rsidRPr="00A240B0">
              <w:rPr>
                <w:rFonts w:eastAsia="Times New Roman" w:cstheme="minorHAnsi"/>
                <w:i/>
                <w:lang w:eastAsia="en-GB"/>
              </w:rPr>
              <w:t xml:space="preserve"> la loi sur la Contribution financière en matière d’eau (CFE) et d’une meilleure coordination des interventions des partenaires dans le secteur</w:t>
            </w:r>
            <w:r w:rsidR="00D572C1">
              <w:rPr>
                <w:rFonts w:eastAsia="Times New Roman" w:cstheme="minorHAnsi"/>
                <w:i/>
                <w:lang w:eastAsia="en-GB"/>
              </w:rPr>
              <w:t xml:space="preserve"> ; </w:t>
            </w:r>
          </w:p>
          <w:p w:rsidR="00FD27AA" w:rsidRDefault="00A240B0" w:rsidP="0021517F">
            <w:pPr>
              <w:pStyle w:val="ListParagraph"/>
              <w:numPr>
                <w:ilvl w:val="0"/>
                <w:numId w:val="9"/>
              </w:numPr>
              <w:spacing w:after="0" w:line="240" w:lineRule="auto"/>
              <w:ind w:left="161" w:hanging="251"/>
              <w:jc w:val="both"/>
              <w:rPr>
                <w:rFonts w:eastAsia="Times New Roman" w:cstheme="minorHAnsi"/>
                <w:i/>
                <w:lang w:eastAsia="en-GB"/>
              </w:rPr>
            </w:pPr>
            <w:r w:rsidRPr="00FD27AA">
              <w:rPr>
                <w:rFonts w:eastAsia="Times New Roman" w:cstheme="minorHAnsi"/>
                <w:i/>
                <w:lang w:eastAsia="en-GB"/>
              </w:rPr>
              <w:t>A</w:t>
            </w:r>
            <w:r w:rsidR="005725C8" w:rsidRPr="00FD27AA">
              <w:rPr>
                <w:rFonts w:eastAsia="Times New Roman" w:cstheme="minorHAnsi"/>
                <w:i/>
                <w:lang w:eastAsia="en-GB"/>
              </w:rPr>
              <w:t>mélior</w:t>
            </w:r>
            <w:r w:rsidRPr="00FD27AA">
              <w:rPr>
                <w:rFonts w:eastAsia="Times New Roman" w:cstheme="minorHAnsi"/>
                <w:i/>
                <w:lang w:eastAsia="en-GB"/>
              </w:rPr>
              <w:t xml:space="preserve">er </w:t>
            </w:r>
            <w:r w:rsidR="005725C8" w:rsidRPr="00FD27AA">
              <w:rPr>
                <w:rFonts w:eastAsia="Times New Roman" w:cstheme="minorHAnsi"/>
                <w:i/>
                <w:lang w:eastAsia="en-GB"/>
              </w:rPr>
              <w:t>l’accès à l’eau potable en milieu urbain et rural par une « Opération eau potable pour tous » (faire des branchements, réduire les distances, rendre disponible l’eau potable pour tous à tout moment, réduire le coût d’accès à l’eau</w:t>
            </w:r>
            <w:r w:rsidRPr="00FD27AA">
              <w:rPr>
                <w:rFonts w:eastAsia="Times New Roman" w:cstheme="minorHAnsi"/>
                <w:i/>
                <w:lang w:eastAsia="en-GB"/>
              </w:rPr>
              <w:t>) ;</w:t>
            </w:r>
          </w:p>
          <w:p w:rsidR="00FD27AA" w:rsidRDefault="00FD27AA"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M</w:t>
            </w:r>
            <w:r w:rsidR="005725C8" w:rsidRPr="00FD27AA">
              <w:rPr>
                <w:rFonts w:eastAsia="Times New Roman" w:cstheme="minorHAnsi"/>
                <w:i/>
                <w:lang w:eastAsia="en-GB"/>
              </w:rPr>
              <w:t xml:space="preserve">ettre fin à toute coupure d’eau à Ouagadougou et </w:t>
            </w:r>
            <w:r>
              <w:rPr>
                <w:rFonts w:eastAsia="Times New Roman" w:cstheme="minorHAnsi"/>
                <w:i/>
                <w:lang w:eastAsia="en-GB"/>
              </w:rPr>
              <w:t>m</w:t>
            </w:r>
            <w:r w:rsidR="005725C8" w:rsidRPr="00FD27AA">
              <w:rPr>
                <w:rFonts w:eastAsia="Times New Roman" w:cstheme="minorHAnsi"/>
                <w:i/>
                <w:lang w:eastAsia="en-GB"/>
              </w:rPr>
              <w:t>ettr</w:t>
            </w:r>
            <w:r>
              <w:rPr>
                <w:rFonts w:eastAsia="Times New Roman" w:cstheme="minorHAnsi"/>
                <w:i/>
                <w:lang w:eastAsia="en-GB"/>
              </w:rPr>
              <w:t>e</w:t>
            </w:r>
            <w:r w:rsidR="005725C8" w:rsidRPr="00FD27AA">
              <w:rPr>
                <w:rFonts w:eastAsia="Times New Roman" w:cstheme="minorHAnsi"/>
                <w:i/>
                <w:lang w:eastAsia="en-GB"/>
              </w:rPr>
              <w:t xml:space="preserve"> l’eau potable à la disposition de tous les Burkinabè, y compris dans chaque village</w:t>
            </w:r>
            <w:r>
              <w:rPr>
                <w:rFonts w:eastAsia="Times New Roman" w:cstheme="minorHAnsi"/>
                <w:i/>
                <w:lang w:eastAsia="en-GB"/>
              </w:rPr>
              <w:t xml:space="preserve"> ; </w:t>
            </w:r>
          </w:p>
          <w:p w:rsidR="005725C8" w:rsidRDefault="00FD27AA" w:rsidP="0021517F">
            <w:pPr>
              <w:pStyle w:val="ListParagraph"/>
              <w:numPr>
                <w:ilvl w:val="0"/>
                <w:numId w:val="9"/>
              </w:numPr>
              <w:spacing w:after="0" w:line="240" w:lineRule="auto"/>
              <w:ind w:left="161" w:hanging="251"/>
              <w:jc w:val="both"/>
              <w:rPr>
                <w:rFonts w:cstheme="minorHAnsi"/>
                <w:i/>
              </w:rPr>
            </w:pPr>
            <w:r w:rsidRPr="00FD27AA">
              <w:rPr>
                <w:rFonts w:eastAsia="Times New Roman" w:cstheme="minorHAnsi"/>
                <w:i/>
                <w:lang w:eastAsia="en-GB"/>
              </w:rPr>
              <w:lastRenderedPageBreak/>
              <w:t xml:space="preserve">Allouer </w:t>
            </w:r>
            <w:r w:rsidR="005725C8" w:rsidRPr="00FD27AA">
              <w:rPr>
                <w:rFonts w:cstheme="minorHAnsi"/>
                <w:i/>
              </w:rPr>
              <w:t>au moins 12% du budget annuel</w:t>
            </w:r>
            <w:r w:rsidRPr="00FD27AA">
              <w:rPr>
                <w:rFonts w:cstheme="minorHAnsi"/>
                <w:i/>
              </w:rPr>
              <w:t xml:space="preserve"> de l’Etat pour assurer l’accès et la sécurité de l’approvisionnement en eau potable ; </w:t>
            </w:r>
          </w:p>
          <w:p w:rsidR="00FD27AA" w:rsidRDefault="00FD27AA"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sidRPr="00FD27AA">
              <w:rPr>
                <w:rFonts w:eastAsia="Times New Roman" w:cstheme="minorHAnsi"/>
                <w:i/>
                <w:lang w:eastAsia="en-GB"/>
              </w:rPr>
              <w:t>Réaliser 120 AEPS par an soit 600 AEPS d’ici à 2025 pour l</w:t>
            </w:r>
            <w:r w:rsidR="005725C8" w:rsidRPr="00FD27AA">
              <w:rPr>
                <w:rFonts w:eastAsia="Times New Roman" w:cstheme="minorHAnsi"/>
                <w:i/>
                <w:lang w:eastAsia="en-GB"/>
              </w:rPr>
              <w:t xml:space="preserve">’approvisionnement en eau potable des communes rurales </w:t>
            </w:r>
            <w:r w:rsidRPr="00FD27AA">
              <w:rPr>
                <w:rFonts w:eastAsia="Times New Roman" w:cstheme="minorHAnsi"/>
                <w:i/>
                <w:lang w:eastAsia="en-GB"/>
              </w:rPr>
              <w:t xml:space="preserve">(ces </w:t>
            </w:r>
            <w:r w:rsidR="005725C8" w:rsidRPr="00FD27AA">
              <w:rPr>
                <w:rFonts w:eastAsia="Times New Roman" w:cstheme="minorHAnsi"/>
                <w:i/>
                <w:lang w:eastAsia="en-GB"/>
              </w:rPr>
              <w:t>AEPS fonctionn</w:t>
            </w:r>
            <w:r w:rsidRPr="00FD27AA">
              <w:rPr>
                <w:rFonts w:eastAsia="Times New Roman" w:cstheme="minorHAnsi"/>
                <w:i/>
                <w:lang w:eastAsia="en-GB"/>
              </w:rPr>
              <w:t xml:space="preserve">eront </w:t>
            </w:r>
            <w:r w:rsidR="005725C8" w:rsidRPr="00FD27AA">
              <w:rPr>
                <w:rFonts w:eastAsia="Times New Roman" w:cstheme="minorHAnsi"/>
                <w:i/>
                <w:lang w:eastAsia="en-GB"/>
              </w:rPr>
              <w:t>à l’aide de l’énergie solaire</w:t>
            </w:r>
            <w:r w:rsidRPr="00FD27AA">
              <w:rPr>
                <w:rFonts w:eastAsia="Times New Roman" w:cstheme="minorHAnsi"/>
                <w:i/>
                <w:lang w:eastAsia="en-GB"/>
              </w:rPr>
              <w:t xml:space="preserve">) ; </w:t>
            </w:r>
            <w:r w:rsidR="005725C8" w:rsidRPr="00FD27AA">
              <w:rPr>
                <w:rFonts w:eastAsia="Times New Roman" w:cstheme="minorHAnsi"/>
                <w:i/>
                <w:lang w:eastAsia="en-GB"/>
              </w:rPr>
              <w:t xml:space="preserve"> </w:t>
            </w:r>
          </w:p>
          <w:p w:rsidR="00FD27AA" w:rsidRDefault="00FD27AA"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A</w:t>
            </w:r>
            <w:r w:rsidR="005725C8" w:rsidRPr="00FD27AA">
              <w:rPr>
                <w:rFonts w:eastAsia="Times New Roman" w:cstheme="minorHAnsi"/>
                <w:i/>
                <w:lang w:eastAsia="en-GB"/>
              </w:rPr>
              <w:t>dopt</w:t>
            </w:r>
            <w:r>
              <w:rPr>
                <w:rFonts w:eastAsia="Times New Roman" w:cstheme="minorHAnsi"/>
                <w:i/>
                <w:lang w:eastAsia="en-GB"/>
              </w:rPr>
              <w:t xml:space="preserve">er </w:t>
            </w:r>
            <w:r w:rsidR="005725C8" w:rsidRPr="00FD27AA">
              <w:rPr>
                <w:rFonts w:eastAsia="Times New Roman" w:cstheme="minorHAnsi"/>
                <w:i/>
                <w:lang w:eastAsia="en-GB"/>
              </w:rPr>
              <w:t>un texte législatif unique (code de l’eau) conforme aux standards internationaux en matière d’accès à l’eau et à l’assainissement</w:t>
            </w:r>
          </w:p>
          <w:p w:rsidR="005725C8" w:rsidRPr="00FD27AA" w:rsidRDefault="00FD27AA"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C</w:t>
            </w:r>
            <w:r w:rsidR="005725C8" w:rsidRPr="00FD27AA">
              <w:rPr>
                <w:rFonts w:eastAsia="Times New Roman" w:cstheme="minorHAnsi"/>
                <w:i/>
                <w:lang w:eastAsia="en-GB"/>
              </w:rPr>
              <w:t>réer un Fonds pour le Financement Durable de l’Eau (FFDE), en vue de renforcer le leadership national en matière de gouvernance</w:t>
            </w:r>
            <w:r w:rsidR="004C190E">
              <w:rPr>
                <w:rFonts w:eastAsia="Times New Roman" w:cstheme="minorHAnsi"/>
                <w:i/>
                <w:lang w:eastAsia="en-GB"/>
              </w:rPr>
              <w:t xml:space="preserve">. </w:t>
            </w:r>
            <w:r w:rsidR="005725C8" w:rsidRPr="00FD27AA">
              <w:rPr>
                <w:rFonts w:eastAsia="Times New Roman" w:cstheme="minorHAnsi"/>
                <w:i/>
                <w:lang w:eastAsia="en-GB"/>
              </w:rPr>
              <w:t xml:space="preserve"> </w:t>
            </w:r>
          </w:p>
          <w:p w:rsidR="005725C8" w:rsidRPr="00A35021" w:rsidRDefault="005725C8" w:rsidP="0021517F">
            <w:pPr>
              <w:spacing w:after="0" w:line="240" w:lineRule="auto"/>
              <w:jc w:val="both"/>
              <w:rPr>
                <w:rFonts w:eastAsia="Times New Roman" w:cstheme="minorHAnsi"/>
                <w:i/>
                <w:lang w:eastAsia="en-GB"/>
              </w:rPr>
            </w:pPr>
          </w:p>
          <w:p w:rsidR="00C92E88" w:rsidRDefault="00CD2611" w:rsidP="0021517F">
            <w:pPr>
              <w:spacing w:after="0" w:line="240" w:lineRule="auto"/>
              <w:jc w:val="both"/>
              <w:rPr>
                <w:rFonts w:cstheme="minorHAnsi"/>
                <w:b/>
                <w:bCs/>
                <w:i/>
              </w:rPr>
            </w:pPr>
            <w:r>
              <w:rPr>
                <w:rFonts w:eastAsia="Times New Roman" w:cstheme="minorHAnsi"/>
                <w:b/>
                <w:i/>
                <w:u w:val="single"/>
                <w:lang w:eastAsia="en-GB"/>
              </w:rPr>
              <w:t>Pour l’h</w:t>
            </w:r>
            <w:r w:rsidR="005725C8" w:rsidRPr="00CD2611">
              <w:rPr>
                <w:rFonts w:eastAsia="Times New Roman" w:cstheme="minorHAnsi"/>
                <w:b/>
                <w:i/>
                <w:u w:val="single"/>
                <w:lang w:eastAsia="en-GB"/>
              </w:rPr>
              <w:t xml:space="preserve">ygiène et </w:t>
            </w:r>
            <w:r>
              <w:rPr>
                <w:rFonts w:eastAsia="Times New Roman" w:cstheme="minorHAnsi"/>
                <w:b/>
                <w:i/>
                <w:u w:val="single"/>
                <w:lang w:eastAsia="en-GB"/>
              </w:rPr>
              <w:t>l’assainissement</w:t>
            </w:r>
            <w:r w:rsidR="005725C8" w:rsidRPr="00A35021">
              <w:rPr>
                <w:rFonts w:cstheme="minorHAnsi"/>
                <w:b/>
                <w:bCs/>
                <w:i/>
              </w:rPr>
              <w:t xml:space="preserve"> </w:t>
            </w:r>
          </w:p>
          <w:p w:rsidR="00392F24" w:rsidRDefault="00392F24" w:rsidP="0021517F">
            <w:pPr>
              <w:spacing w:after="0" w:line="240" w:lineRule="auto"/>
              <w:jc w:val="both"/>
              <w:rPr>
                <w:rFonts w:eastAsia="Times New Roman" w:cstheme="minorHAnsi"/>
                <w:i/>
                <w:lang w:eastAsia="en-GB"/>
              </w:rPr>
            </w:pPr>
          </w:p>
          <w:p w:rsidR="002B764E" w:rsidRDefault="00392F24"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sidRPr="002B764E">
              <w:rPr>
                <w:rFonts w:eastAsia="Times New Roman" w:cstheme="minorHAnsi"/>
                <w:i/>
                <w:lang w:eastAsia="en-GB"/>
              </w:rPr>
              <w:t>P</w:t>
            </w:r>
            <w:r w:rsidR="005725C8" w:rsidRPr="002B764E">
              <w:rPr>
                <w:rFonts w:eastAsia="Times New Roman" w:cstheme="minorHAnsi"/>
                <w:i/>
                <w:lang w:eastAsia="en-GB"/>
              </w:rPr>
              <w:t xml:space="preserve">asser de 23,6% de taux </w:t>
            </w:r>
            <w:r w:rsidRPr="002B764E">
              <w:rPr>
                <w:rFonts w:eastAsia="Times New Roman" w:cstheme="minorHAnsi"/>
                <w:i/>
                <w:lang w:eastAsia="en-GB"/>
              </w:rPr>
              <w:t>d’accès à l</w:t>
            </w:r>
            <w:r w:rsidR="005725C8" w:rsidRPr="002B764E">
              <w:rPr>
                <w:rFonts w:eastAsia="Times New Roman" w:cstheme="minorHAnsi"/>
                <w:i/>
                <w:lang w:eastAsia="en-GB"/>
              </w:rPr>
              <w:t>’assainissement national en 2019 à 45% en 2025</w:t>
            </w:r>
            <w:r w:rsidR="0044693B" w:rsidRPr="002B764E">
              <w:rPr>
                <w:rFonts w:eastAsia="Times New Roman" w:cstheme="minorHAnsi"/>
                <w:i/>
                <w:lang w:eastAsia="en-GB"/>
              </w:rPr>
              <w:t xml:space="preserve"> ; </w:t>
            </w:r>
          </w:p>
          <w:p w:rsidR="005725C8" w:rsidRPr="002B764E" w:rsidRDefault="002B764E"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P</w:t>
            </w:r>
            <w:r w:rsidR="005725C8" w:rsidRPr="002B764E">
              <w:rPr>
                <w:rFonts w:eastAsia="Times New Roman" w:cstheme="minorHAnsi"/>
                <w:i/>
                <w:lang w:eastAsia="en-GB"/>
              </w:rPr>
              <w:t>r</w:t>
            </w:r>
            <w:r>
              <w:rPr>
                <w:rFonts w:eastAsia="Times New Roman" w:cstheme="minorHAnsi"/>
                <w:i/>
                <w:lang w:eastAsia="en-GB"/>
              </w:rPr>
              <w:t xml:space="preserve">endre </w:t>
            </w:r>
            <w:r w:rsidR="005725C8" w:rsidRPr="002B764E">
              <w:rPr>
                <w:rFonts w:eastAsia="Times New Roman" w:cstheme="minorHAnsi"/>
                <w:i/>
                <w:lang w:eastAsia="en-GB"/>
              </w:rPr>
              <w:t xml:space="preserve">en compte </w:t>
            </w:r>
            <w:r w:rsidR="00FA5408">
              <w:rPr>
                <w:rFonts w:eastAsia="Times New Roman" w:cstheme="minorHAnsi"/>
                <w:i/>
                <w:lang w:eastAsia="en-GB"/>
              </w:rPr>
              <w:t xml:space="preserve">le </w:t>
            </w:r>
            <w:r w:rsidR="005725C8" w:rsidRPr="002B764E">
              <w:rPr>
                <w:rFonts w:eastAsia="Times New Roman" w:cstheme="minorHAnsi"/>
                <w:i/>
                <w:lang w:eastAsia="en-GB"/>
              </w:rPr>
              <w:t>volet infrastructures hydrauliques et d’assainissement dans les réalisations d’infrastructures entrant dans le cadre des festivités de la fête nationale célébrée chaque année le 11 décembre et dans les projets immobiliers conduits par les sociétés immobilières</w:t>
            </w:r>
            <w:r w:rsidR="00561190">
              <w:rPr>
                <w:rFonts w:eastAsia="Times New Roman" w:cstheme="minorHAnsi"/>
                <w:i/>
                <w:lang w:eastAsia="en-GB"/>
              </w:rPr>
              <w:t xml:space="preserve">. </w:t>
            </w:r>
            <w:r>
              <w:rPr>
                <w:rFonts w:eastAsia="Times New Roman" w:cstheme="minorHAnsi"/>
                <w:i/>
                <w:lang w:eastAsia="en-GB"/>
              </w:rPr>
              <w:t xml:space="preserve"> </w:t>
            </w:r>
          </w:p>
          <w:p w:rsidR="005725C8" w:rsidRPr="00A35021" w:rsidRDefault="005725C8" w:rsidP="0021517F">
            <w:pPr>
              <w:spacing w:after="0" w:line="240" w:lineRule="auto"/>
              <w:jc w:val="both"/>
              <w:rPr>
                <w:rFonts w:eastAsia="Times New Roman" w:cstheme="minorHAnsi"/>
                <w:i/>
                <w:lang w:eastAsia="en-GB"/>
              </w:rPr>
            </w:pPr>
          </w:p>
        </w:tc>
        <w:tc>
          <w:tcPr>
            <w:tcW w:w="4680" w:type="dxa"/>
            <w:shd w:val="clear" w:color="auto" w:fill="auto"/>
          </w:tcPr>
          <w:p w:rsidR="00FD27AA" w:rsidRDefault="00FD27AA"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lastRenderedPageBreak/>
              <w:t>M</w:t>
            </w:r>
            <w:r w:rsidR="00E76E62">
              <w:rPr>
                <w:rFonts w:eastAsia="Times New Roman" w:cstheme="minorHAnsi"/>
                <w:i/>
                <w:lang w:eastAsia="en-GB"/>
              </w:rPr>
              <w:t xml:space="preserve">ise en </w:t>
            </w:r>
            <w:r>
              <w:rPr>
                <w:rFonts w:eastAsia="Times New Roman" w:cstheme="minorHAnsi"/>
                <w:i/>
                <w:lang w:eastAsia="en-GB"/>
              </w:rPr>
              <w:t xml:space="preserve">œuvre </w:t>
            </w:r>
            <w:r w:rsidR="00FD1815">
              <w:rPr>
                <w:rFonts w:eastAsia="Times New Roman" w:cstheme="minorHAnsi"/>
                <w:i/>
                <w:lang w:eastAsia="en-GB"/>
              </w:rPr>
              <w:t>d’une</w:t>
            </w:r>
            <w:r>
              <w:rPr>
                <w:rFonts w:eastAsia="Times New Roman" w:cstheme="minorHAnsi"/>
                <w:i/>
                <w:lang w:eastAsia="en-GB"/>
              </w:rPr>
              <w:t xml:space="preserve"> opération eau potable pour tous ; </w:t>
            </w:r>
          </w:p>
          <w:p w:rsidR="005725C8" w:rsidRPr="00A35021" w:rsidRDefault="0012378A"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Faire en sorte que c</w:t>
            </w:r>
            <w:r w:rsidR="005725C8" w:rsidRPr="00A35021">
              <w:rPr>
                <w:rFonts w:eastAsia="Times New Roman" w:cstheme="minorHAnsi"/>
                <w:i/>
                <w:lang w:eastAsia="en-GB"/>
              </w:rPr>
              <w:t>haque commune rurale et chaque village de plus de 3 000 habitants devra disposer de son système d’approvisionnement en eau potable (AEPS)</w:t>
            </w:r>
            <w:r>
              <w:rPr>
                <w:rFonts w:eastAsia="Times New Roman" w:cstheme="minorHAnsi"/>
                <w:i/>
                <w:lang w:eastAsia="en-GB"/>
              </w:rPr>
              <w:t xml:space="preserve"> ; </w:t>
            </w:r>
          </w:p>
          <w:p w:rsidR="00EC58D2" w:rsidRDefault="005725C8" w:rsidP="00FD27AA">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Application stricte de la réforme du système de gestion des infrastructures hydrauliques d’a</w:t>
            </w:r>
            <w:r w:rsidR="00645042">
              <w:rPr>
                <w:rFonts w:eastAsia="Times New Roman" w:cstheme="minorHAnsi"/>
                <w:i/>
                <w:lang w:eastAsia="en-GB"/>
              </w:rPr>
              <w:t xml:space="preserve">pprovisionnement en eau potable ; </w:t>
            </w:r>
            <w:r w:rsidRPr="00A35021">
              <w:rPr>
                <w:rFonts w:eastAsia="Times New Roman" w:cstheme="minorHAnsi"/>
                <w:i/>
                <w:lang w:eastAsia="en-GB"/>
              </w:rPr>
              <w:t xml:space="preserve"> </w:t>
            </w:r>
          </w:p>
          <w:p w:rsidR="005725C8" w:rsidRPr="00A35021" w:rsidRDefault="00E31938"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Facilitation des b</w:t>
            </w:r>
            <w:r w:rsidR="005725C8" w:rsidRPr="00A35021">
              <w:rPr>
                <w:rFonts w:eastAsia="Times New Roman" w:cstheme="minorHAnsi"/>
                <w:i/>
                <w:lang w:eastAsia="en-GB"/>
              </w:rPr>
              <w:t>ranchements privés à des coûts accessibles dans les localités desservies par le réseau de l’Office National de l’Eau</w:t>
            </w:r>
            <w:r w:rsidR="00916BF7">
              <w:rPr>
                <w:rFonts w:eastAsia="Times New Roman" w:cstheme="minorHAnsi"/>
                <w:i/>
                <w:lang w:eastAsia="en-GB"/>
              </w:rPr>
              <w:t xml:space="preserve"> ; </w:t>
            </w:r>
          </w:p>
          <w:p w:rsidR="005725C8" w:rsidRPr="00A35021" w:rsidRDefault="00F55ED2" w:rsidP="00FD27AA">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Transfert</w:t>
            </w:r>
            <w:r w:rsidR="005725C8" w:rsidRPr="00A35021">
              <w:rPr>
                <w:rFonts w:eastAsia="Times New Roman" w:cstheme="minorHAnsi"/>
                <w:i/>
                <w:lang w:eastAsia="en-GB"/>
              </w:rPr>
              <w:t xml:space="preserve"> effectif des ressources et des compétences en matière d’eau et d’assainissement aux collectivités territoriales</w:t>
            </w:r>
            <w:r w:rsidR="00117044">
              <w:rPr>
                <w:rFonts w:eastAsia="Times New Roman" w:cstheme="minorHAnsi"/>
                <w:i/>
                <w:lang w:eastAsia="en-GB"/>
              </w:rPr>
              <w:t xml:space="preserve"> ; </w:t>
            </w:r>
            <w:r w:rsidR="000B1D92">
              <w:rPr>
                <w:rFonts w:eastAsia="Times New Roman" w:cstheme="minorHAnsi"/>
                <w:i/>
                <w:lang w:eastAsia="en-GB"/>
              </w:rPr>
              <w:t xml:space="preserve"> </w:t>
            </w:r>
          </w:p>
          <w:p w:rsidR="005A0542" w:rsidRDefault="00B9123B" w:rsidP="0021517F">
            <w:pPr>
              <w:pStyle w:val="ListParagraph"/>
              <w:numPr>
                <w:ilvl w:val="0"/>
                <w:numId w:val="9"/>
              </w:numPr>
              <w:spacing w:after="0" w:line="240" w:lineRule="auto"/>
              <w:ind w:left="161" w:hanging="251"/>
              <w:jc w:val="both"/>
              <w:rPr>
                <w:rFonts w:eastAsia="Times New Roman" w:cstheme="minorHAnsi"/>
                <w:i/>
                <w:lang w:eastAsia="en-GB"/>
              </w:rPr>
            </w:pPr>
            <w:r w:rsidRPr="005A0542">
              <w:rPr>
                <w:rFonts w:eastAsia="Times New Roman" w:cstheme="minorHAnsi"/>
                <w:i/>
                <w:lang w:eastAsia="en-GB"/>
              </w:rPr>
              <w:t>Promo</w:t>
            </w:r>
            <w:r w:rsidR="002310D4">
              <w:rPr>
                <w:rFonts w:eastAsia="Times New Roman" w:cstheme="minorHAnsi"/>
                <w:i/>
                <w:lang w:eastAsia="en-GB"/>
              </w:rPr>
              <w:t xml:space="preserve">tion de </w:t>
            </w:r>
            <w:r w:rsidR="005725C8" w:rsidRPr="005A0542">
              <w:rPr>
                <w:rFonts w:eastAsia="Times New Roman" w:cstheme="minorHAnsi"/>
                <w:i/>
                <w:lang w:eastAsia="en-GB"/>
              </w:rPr>
              <w:t>l’approche AEP Multi-village partout où cela est possible ;</w:t>
            </w:r>
          </w:p>
          <w:p w:rsidR="005A0542" w:rsidRDefault="00B9123B" w:rsidP="0021517F">
            <w:pPr>
              <w:pStyle w:val="ListParagraph"/>
              <w:numPr>
                <w:ilvl w:val="0"/>
                <w:numId w:val="9"/>
              </w:numPr>
              <w:spacing w:after="0" w:line="240" w:lineRule="auto"/>
              <w:ind w:left="161" w:hanging="251"/>
              <w:jc w:val="both"/>
              <w:rPr>
                <w:rFonts w:eastAsia="Times New Roman" w:cstheme="minorHAnsi"/>
                <w:i/>
                <w:lang w:eastAsia="en-GB"/>
              </w:rPr>
            </w:pPr>
            <w:r w:rsidRPr="005A0542">
              <w:rPr>
                <w:rFonts w:eastAsia="Times New Roman" w:cstheme="minorHAnsi"/>
                <w:i/>
                <w:lang w:eastAsia="en-GB"/>
              </w:rPr>
              <w:t>P</w:t>
            </w:r>
            <w:r w:rsidR="005725C8" w:rsidRPr="005A0542">
              <w:rPr>
                <w:rFonts w:eastAsia="Times New Roman" w:cstheme="minorHAnsi"/>
                <w:i/>
                <w:lang w:eastAsia="en-GB"/>
              </w:rPr>
              <w:t>r</w:t>
            </w:r>
            <w:r w:rsidR="00AF00BE">
              <w:rPr>
                <w:rFonts w:eastAsia="Times New Roman" w:cstheme="minorHAnsi"/>
                <w:i/>
                <w:lang w:eastAsia="en-GB"/>
              </w:rPr>
              <w:t xml:space="preserve">ise </w:t>
            </w:r>
            <w:r w:rsidR="005725C8" w:rsidRPr="005A0542">
              <w:rPr>
                <w:rFonts w:eastAsia="Times New Roman" w:cstheme="minorHAnsi"/>
                <w:i/>
                <w:lang w:eastAsia="en-GB"/>
              </w:rPr>
              <w:t xml:space="preserve">de dispositions pour renforcer la maîtrise d’ouvrage des collectivités territoriales dans les compétences transférées en matière d’eau potable et d’assainissement </w:t>
            </w:r>
            <w:r w:rsidR="00592355">
              <w:rPr>
                <w:rFonts w:eastAsia="Times New Roman" w:cstheme="minorHAnsi"/>
                <w:i/>
                <w:lang w:eastAsia="en-GB"/>
              </w:rPr>
              <w:t>et</w:t>
            </w:r>
            <w:r w:rsidR="005725C8" w:rsidRPr="005A0542">
              <w:rPr>
                <w:rFonts w:eastAsia="Times New Roman" w:cstheme="minorHAnsi"/>
                <w:i/>
                <w:lang w:eastAsia="en-GB"/>
              </w:rPr>
              <w:t xml:space="preserve"> mise à disposition des communes d’un agent technique compétent en vue de booster les performances du secteur</w:t>
            </w:r>
            <w:r w:rsidR="00F6672C">
              <w:rPr>
                <w:rFonts w:eastAsia="Times New Roman" w:cstheme="minorHAnsi"/>
                <w:i/>
                <w:lang w:eastAsia="en-GB"/>
              </w:rPr>
              <w:t xml:space="preserve"> ; </w:t>
            </w:r>
          </w:p>
          <w:p w:rsidR="005725C8" w:rsidRPr="005A0542" w:rsidRDefault="00B9123B" w:rsidP="0021517F">
            <w:pPr>
              <w:pStyle w:val="ListParagraph"/>
              <w:numPr>
                <w:ilvl w:val="0"/>
                <w:numId w:val="9"/>
              </w:numPr>
              <w:spacing w:after="0" w:line="240" w:lineRule="auto"/>
              <w:ind w:left="161" w:hanging="251"/>
              <w:jc w:val="both"/>
              <w:rPr>
                <w:rFonts w:eastAsia="Times New Roman" w:cstheme="minorHAnsi"/>
                <w:i/>
                <w:lang w:eastAsia="en-GB"/>
              </w:rPr>
            </w:pPr>
            <w:r w:rsidRPr="005A0542">
              <w:rPr>
                <w:rFonts w:eastAsia="Times New Roman" w:cstheme="minorHAnsi"/>
                <w:i/>
                <w:lang w:eastAsia="en-GB"/>
              </w:rPr>
              <w:t>Promotion</w:t>
            </w:r>
            <w:r w:rsidR="005725C8" w:rsidRPr="005A0542">
              <w:rPr>
                <w:rFonts w:eastAsia="Times New Roman" w:cstheme="minorHAnsi"/>
                <w:i/>
                <w:lang w:eastAsia="en-GB"/>
              </w:rPr>
              <w:t xml:space="preserve"> du contrôle citoyen des réalisations d’infrastructures et ouvrages d’eau et d’assainissement sur l’ensemble du territoire </w:t>
            </w:r>
            <w:r w:rsidR="005725C8" w:rsidRPr="005A0542">
              <w:rPr>
                <w:rFonts w:eastAsia="Times New Roman" w:cstheme="minorHAnsi"/>
                <w:i/>
                <w:lang w:eastAsia="en-GB"/>
              </w:rPr>
              <w:lastRenderedPageBreak/>
              <w:t>national pour garantir leur qualité et leur durabilité</w:t>
            </w:r>
            <w:r w:rsidR="00BF4FD5">
              <w:rPr>
                <w:rFonts w:eastAsia="Times New Roman" w:cstheme="minorHAnsi"/>
                <w:i/>
                <w:lang w:eastAsia="en-GB"/>
              </w:rPr>
              <w:t xml:space="preserve"> ; </w:t>
            </w:r>
          </w:p>
          <w:p w:rsidR="005725C8" w:rsidRPr="00A35021" w:rsidRDefault="00117044"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w:t>
            </w:r>
            <w:r w:rsidR="005725C8" w:rsidRPr="00A35021">
              <w:rPr>
                <w:rFonts w:eastAsia="Times New Roman" w:cstheme="minorHAnsi"/>
                <w:i/>
                <w:lang w:eastAsia="en-GB"/>
              </w:rPr>
              <w:t>ommunication pour une prise de conscience des avantages pour la santé qui sont associés à de bonnes pratiques en matière d’hygiène et d’assainissement</w:t>
            </w:r>
            <w:r w:rsidR="006F1DB0">
              <w:rPr>
                <w:rFonts w:eastAsia="Times New Roman" w:cstheme="minorHAnsi"/>
                <w:i/>
                <w:lang w:eastAsia="en-GB"/>
              </w:rPr>
              <w:t xml:space="preserve"> ; </w:t>
            </w:r>
          </w:p>
          <w:p w:rsidR="00117044" w:rsidRDefault="006F1DB0"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w:t>
            </w:r>
            <w:r w:rsidR="005725C8" w:rsidRPr="00A35021">
              <w:rPr>
                <w:rFonts w:eastAsia="Times New Roman" w:cstheme="minorHAnsi"/>
                <w:i/>
                <w:lang w:eastAsia="en-GB"/>
              </w:rPr>
              <w:t>onstruction de latrines (familiales, institutionnelles, publiques) et sensibilisation pour leur utilisation</w:t>
            </w:r>
            <w:r w:rsidR="00117044">
              <w:rPr>
                <w:rFonts w:eastAsia="Times New Roman" w:cstheme="minorHAnsi"/>
                <w:i/>
                <w:lang w:eastAsia="en-GB"/>
              </w:rPr>
              <w:t xml:space="preserve"> ; </w:t>
            </w:r>
            <w:r w:rsidR="005725C8" w:rsidRPr="00A35021">
              <w:rPr>
                <w:rFonts w:eastAsia="Times New Roman" w:cstheme="minorHAnsi"/>
                <w:i/>
                <w:lang w:eastAsia="en-GB"/>
              </w:rPr>
              <w:t xml:space="preserve"> </w:t>
            </w:r>
          </w:p>
          <w:p w:rsidR="005725C8" w:rsidRPr="00A35021" w:rsidRDefault="00117044"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P</w:t>
            </w:r>
            <w:r w:rsidR="005725C8" w:rsidRPr="00A35021">
              <w:rPr>
                <w:rFonts w:eastAsia="Times New Roman" w:cstheme="minorHAnsi"/>
                <w:i/>
                <w:lang w:eastAsia="en-GB"/>
              </w:rPr>
              <w:t xml:space="preserve">rise en compte </w:t>
            </w:r>
            <w:r w:rsidRPr="00A35021">
              <w:rPr>
                <w:rFonts w:eastAsia="Times New Roman" w:cstheme="minorHAnsi"/>
                <w:i/>
                <w:lang w:eastAsia="en-GB"/>
              </w:rPr>
              <w:t xml:space="preserve">d’une cabine pour la gestion des menstrues des jeunes filles </w:t>
            </w:r>
            <w:r w:rsidR="005725C8" w:rsidRPr="00A35021">
              <w:rPr>
                <w:rFonts w:eastAsia="Times New Roman" w:cstheme="minorHAnsi"/>
                <w:i/>
                <w:lang w:eastAsia="en-GB"/>
              </w:rPr>
              <w:t>dans les latrines institutionnelles de toutes les écoles primaires, post- primaires et secondaires sur l’</w:t>
            </w:r>
            <w:r>
              <w:rPr>
                <w:rFonts w:eastAsia="Times New Roman" w:cstheme="minorHAnsi"/>
                <w:i/>
                <w:lang w:eastAsia="en-GB"/>
              </w:rPr>
              <w:t xml:space="preserve">étendue du territoire national ; </w:t>
            </w:r>
          </w:p>
          <w:p w:rsidR="005725C8" w:rsidRPr="00A35021" w:rsidRDefault="00830D8B"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C</w:t>
            </w:r>
            <w:r w:rsidR="005725C8" w:rsidRPr="00A35021">
              <w:rPr>
                <w:rFonts w:eastAsia="Times New Roman" w:cstheme="minorHAnsi"/>
                <w:i/>
                <w:lang w:eastAsia="en-GB"/>
              </w:rPr>
              <w:t>onstruction de fosses à ordures communautaires dans les villages</w:t>
            </w:r>
            <w:r>
              <w:rPr>
                <w:rFonts w:eastAsia="Times New Roman" w:cstheme="minorHAnsi"/>
                <w:i/>
                <w:lang w:eastAsia="en-GB"/>
              </w:rPr>
              <w:t xml:space="preserve"> ; </w:t>
            </w:r>
          </w:p>
          <w:p w:rsidR="005725C8" w:rsidRPr="00A35021" w:rsidRDefault="00830D8B"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S</w:t>
            </w:r>
            <w:r w:rsidR="005725C8" w:rsidRPr="00A35021">
              <w:rPr>
                <w:rFonts w:eastAsia="Times New Roman" w:cstheme="minorHAnsi"/>
                <w:i/>
                <w:lang w:eastAsia="en-GB"/>
              </w:rPr>
              <w:t>ensibilisation sur le lavage des mains et l’installation de dispositifs dans les lieux publics</w:t>
            </w:r>
            <w:r>
              <w:rPr>
                <w:rFonts w:eastAsia="Times New Roman" w:cstheme="minorHAnsi"/>
                <w:i/>
                <w:lang w:eastAsia="en-GB"/>
              </w:rPr>
              <w:t xml:space="preserve"> ; </w:t>
            </w:r>
          </w:p>
          <w:p w:rsidR="005725C8" w:rsidRPr="00A35021" w:rsidRDefault="00A82201"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S</w:t>
            </w:r>
            <w:r w:rsidR="005725C8" w:rsidRPr="00A35021">
              <w:rPr>
                <w:rFonts w:eastAsia="Times New Roman" w:cstheme="minorHAnsi"/>
                <w:i/>
                <w:lang w:eastAsia="en-GB"/>
              </w:rPr>
              <w:t xml:space="preserve">ensibilisation de la population aux mesures à prendre pour rendre l’eau potable </w:t>
            </w:r>
            <w:r w:rsidR="00D545EE">
              <w:rPr>
                <w:rFonts w:eastAsia="Times New Roman" w:cstheme="minorHAnsi"/>
                <w:i/>
                <w:lang w:eastAsia="en-GB"/>
              </w:rPr>
              <w:t>(</w:t>
            </w:r>
            <w:r w:rsidR="005725C8" w:rsidRPr="00A35021">
              <w:rPr>
                <w:rFonts w:eastAsia="Times New Roman" w:cstheme="minorHAnsi"/>
                <w:i/>
                <w:lang w:eastAsia="en-GB"/>
              </w:rPr>
              <w:t>javell</w:t>
            </w:r>
            <w:r>
              <w:rPr>
                <w:rFonts w:eastAsia="Times New Roman" w:cstheme="minorHAnsi"/>
                <w:i/>
                <w:lang w:eastAsia="en-GB"/>
              </w:rPr>
              <w:t>isation et traitement thermique</w:t>
            </w:r>
            <w:r w:rsidR="00D545EE">
              <w:rPr>
                <w:rFonts w:eastAsia="Times New Roman" w:cstheme="minorHAnsi"/>
                <w:i/>
                <w:lang w:eastAsia="en-GB"/>
              </w:rPr>
              <w:t xml:space="preserve">) ; </w:t>
            </w:r>
            <w:r>
              <w:rPr>
                <w:rFonts w:eastAsia="Times New Roman" w:cstheme="minorHAnsi"/>
                <w:i/>
                <w:lang w:eastAsia="en-GB"/>
              </w:rPr>
              <w:t xml:space="preserve"> </w:t>
            </w:r>
          </w:p>
          <w:p w:rsidR="005725C8" w:rsidRPr="00A35021" w:rsidRDefault="00E54D9B"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M</w:t>
            </w:r>
            <w:r w:rsidR="005725C8" w:rsidRPr="00A35021">
              <w:rPr>
                <w:rFonts w:eastAsia="Times New Roman" w:cstheme="minorHAnsi"/>
                <w:i/>
                <w:lang w:eastAsia="en-GB"/>
              </w:rPr>
              <w:t>ise en œuvre de plans de sécurité sur l’eau et de plans d’assainissement à l’échelle locale</w:t>
            </w:r>
            <w:r>
              <w:rPr>
                <w:rFonts w:eastAsia="Times New Roman" w:cstheme="minorHAnsi"/>
                <w:i/>
                <w:lang w:eastAsia="en-GB"/>
              </w:rPr>
              <w:t xml:space="preserve"> ; </w:t>
            </w:r>
          </w:p>
          <w:p w:rsidR="005725C8" w:rsidRPr="00A35021" w:rsidRDefault="00E54D9B" w:rsidP="00FD27AA">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S</w:t>
            </w:r>
            <w:r w:rsidR="005725C8" w:rsidRPr="00A35021">
              <w:rPr>
                <w:rFonts w:eastAsia="Times New Roman" w:cstheme="minorHAnsi"/>
                <w:i/>
                <w:lang w:eastAsia="en-GB"/>
              </w:rPr>
              <w:t>ensibilisation pour la construction d’enclos pour les animaux domestiques</w:t>
            </w:r>
            <w:r>
              <w:rPr>
                <w:rFonts w:eastAsia="Times New Roman" w:cstheme="minorHAnsi"/>
                <w:i/>
                <w:lang w:eastAsia="en-GB"/>
              </w:rPr>
              <w:t xml:space="preserve"> ; </w:t>
            </w:r>
          </w:p>
          <w:p w:rsidR="00E54D9B" w:rsidRDefault="00E54D9B" w:rsidP="0021517F">
            <w:pPr>
              <w:pStyle w:val="ListParagraph"/>
              <w:numPr>
                <w:ilvl w:val="0"/>
                <w:numId w:val="9"/>
              </w:numPr>
              <w:spacing w:after="0" w:line="240" w:lineRule="auto"/>
              <w:ind w:left="161" w:hanging="251"/>
              <w:jc w:val="both"/>
              <w:rPr>
                <w:rFonts w:eastAsia="Times New Roman" w:cstheme="minorHAnsi"/>
                <w:i/>
                <w:lang w:eastAsia="en-GB"/>
              </w:rPr>
            </w:pPr>
            <w:r w:rsidRPr="00E54D9B">
              <w:rPr>
                <w:rFonts w:eastAsia="Times New Roman" w:cstheme="minorHAnsi"/>
                <w:i/>
                <w:lang w:eastAsia="en-GB"/>
              </w:rPr>
              <w:t>Mise en place sur toute l’étendue du territoire national du p</w:t>
            </w:r>
            <w:r w:rsidR="005725C8" w:rsidRPr="00E54D9B">
              <w:rPr>
                <w:rFonts w:eastAsia="Times New Roman" w:cstheme="minorHAnsi"/>
                <w:i/>
                <w:lang w:eastAsia="en-GB"/>
              </w:rPr>
              <w:t>rogramme d’a</w:t>
            </w:r>
            <w:r>
              <w:rPr>
                <w:rFonts w:eastAsia="Times New Roman" w:cstheme="minorHAnsi"/>
                <w:i/>
                <w:lang w:eastAsia="en-GB"/>
              </w:rPr>
              <w:t xml:space="preserve">ssainissement solide et liquide ; </w:t>
            </w:r>
          </w:p>
          <w:p w:rsidR="00E54D9B" w:rsidRDefault="000808AC" w:rsidP="0021517F">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 xml:space="preserve">Construction </w:t>
            </w:r>
            <w:r w:rsidRPr="00E54D9B">
              <w:rPr>
                <w:rFonts w:eastAsia="Times New Roman" w:cstheme="minorHAnsi"/>
                <w:i/>
                <w:lang w:eastAsia="en-GB"/>
              </w:rPr>
              <w:t xml:space="preserve">systématique </w:t>
            </w:r>
            <w:r>
              <w:rPr>
                <w:rFonts w:eastAsia="Times New Roman" w:cstheme="minorHAnsi"/>
                <w:i/>
                <w:lang w:eastAsia="en-GB"/>
              </w:rPr>
              <w:t xml:space="preserve">de </w:t>
            </w:r>
            <w:r w:rsidR="005725C8" w:rsidRPr="00E54D9B">
              <w:rPr>
                <w:rFonts w:eastAsia="Times New Roman" w:cstheme="minorHAnsi"/>
                <w:i/>
                <w:lang w:eastAsia="en-GB"/>
              </w:rPr>
              <w:t xml:space="preserve">canalisations dans tous les quartiers lotis de Ouagadougou afin d’éviter </w:t>
            </w:r>
            <w:r>
              <w:rPr>
                <w:rFonts w:eastAsia="Times New Roman" w:cstheme="minorHAnsi"/>
                <w:i/>
                <w:lang w:eastAsia="en-GB"/>
              </w:rPr>
              <w:t xml:space="preserve">les </w:t>
            </w:r>
            <w:r w:rsidR="005725C8" w:rsidRPr="00E54D9B">
              <w:rPr>
                <w:rFonts w:eastAsia="Times New Roman" w:cstheme="minorHAnsi"/>
                <w:i/>
                <w:lang w:eastAsia="en-GB"/>
              </w:rPr>
              <w:t>inondations</w:t>
            </w:r>
            <w:r>
              <w:rPr>
                <w:rFonts w:eastAsia="Times New Roman" w:cstheme="minorHAnsi"/>
                <w:i/>
                <w:lang w:eastAsia="en-GB"/>
              </w:rPr>
              <w:t xml:space="preserve"> ; </w:t>
            </w:r>
            <w:r w:rsidR="00E54D9B" w:rsidRPr="00E54D9B">
              <w:rPr>
                <w:rFonts w:eastAsia="Times New Roman" w:cstheme="minorHAnsi"/>
                <w:i/>
                <w:lang w:eastAsia="en-GB"/>
              </w:rPr>
              <w:t xml:space="preserve"> </w:t>
            </w:r>
          </w:p>
          <w:p w:rsidR="00E54D9B" w:rsidRDefault="00B001BE" w:rsidP="00E54D9B">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Renforcement d</w:t>
            </w:r>
            <w:r w:rsidR="005725C8" w:rsidRPr="00E54D9B">
              <w:rPr>
                <w:rFonts w:eastAsia="Times New Roman" w:cstheme="minorHAnsi"/>
                <w:i/>
                <w:lang w:eastAsia="en-GB"/>
              </w:rPr>
              <w:t xml:space="preserve">es services de contrôle afin que toutes les municipalités et tous les habitants de </w:t>
            </w:r>
            <w:r w:rsidR="005725C8" w:rsidRPr="00E54D9B">
              <w:rPr>
                <w:rFonts w:eastAsia="Times New Roman" w:cstheme="minorHAnsi"/>
                <w:i/>
                <w:lang w:eastAsia="en-GB"/>
              </w:rPr>
              <w:lastRenderedPageBreak/>
              <w:t xml:space="preserve">notre pays respectent leurs obligations </w:t>
            </w:r>
            <w:r w:rsidR="00093F6F">
              <w:rPr>
                <w:rFonts w:eastAsia="Times New Roman" w:cstheme="minorHAnsi"/>
                <w:i/>
                <w:lang w:eastAsia="en-GB"/>
              </w:rPr>
              <w:t xml:space="preserve">en matière </w:t>
            </w:r>
            <w:r w:rsidR="00093F6F" w:rsidRPr="00E54D9B">
              <w:rPr>
                <w:rFonts w:eastAsia="Times New Roman" w:cstheme="minorHAnsi"/>
                <w:i/>
                <w:lang w:eastAsia="en-GB"/>
              </w:rPr>
              <w:t>d’hygiène et d’assainissement</w:t>
            </w:r>
            <w:r w:rsidR="00077FAA">
              <w:rPr>
                <w:rFonts w:eastAsia="Times New Roman" w:cstheme="minorHAnsi"/>
                <w:i/>
                <w:lang w:eastAsia="en-GB"/>
              </w:rPr>
              <w:t xml:space="preserve"> ; </w:t>
            </w:r>
          </w:p>
          <w:p w:rsidR="005725C8" w:rsidRPr="00A35021" w:rsidRDefault="00E54D9B" w:rsidP="00E54D9B">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P</w:t>
            </w:r>
            <w:r w:rsidR="005725C8" w:rsidRPr="00A35021">
              <w:rPr>
                <w:rFonts w:eastAsia="Times New Roman" w:cstheme="minorHAnsi"/>
                <w:i/>
                <w:lang w:eastAsia="en-GB"/>
              </w:rPr>
              <w:t>rise des dispositions pour intéresser le secteur privé dans la gestion des déchets solides, des eaux usées et excrétas, des boues de vidange et des déchets plastiques, d’une part et la promotion des technologies sur l’hygiène publique, d’autre part</w:t>
            </w:r>
            <w:r w:rsidR="007D01B5">
              <w:rPr>
                <w:rFonts w:eastAsia="Times New Roman" w:cstheme="minorHAnsi"/>
                <w:i/>
                <w:lang w:eastAsia="en-GB"/>
              </w:rPr>
              <w:t xml:space="preserve">. </w:t>
            </w:r>
          </w:p>
        </w:tc>
        <w:tc>
          <w:tcPr>
            <w:tcW w:w="2535" w:type="dxa"/>
            <w:shd w:val="clear" w:color="auto" w:fill="auto"/>
          </w:tcPr>
          <w:p w:rsidR="005725C8" w:rsidRDefault="005725C8" w:rsidP="005A0542">
            <w:pPr>
              <w:pStyle w:val="ListParagraph"/>
              <w:numPr>
                <w:ilvl w:val="0"/>
                <w:numId w:val="9"/>
              </w:numPr>
              <w:spacing w:after="0" w:line="240" w:lineRule="auto"/>
              <w:ind w:left="161" w:hanging="251"/>
              <w:jc w:val="both"/>
              <w:rPr>
                <w:rFonts w:cstheme="minorHAnsi"/>
                <w:i/>
              </w:rPr>
            </w:pPr>
            <w:r w:rsidRPr="00A35021">
              <w:rPr>
                <w:rFonts w:cstheme="minorHAnsi"/>
                <w:i/>
              </w:rPr>
              <w:lastRenderedPageBreak/>
              <w:t>Le Plan qui sera mis en œuvre en vue d’assurer l’accès et la sécurité de l’approvisionnement en eau potable sera doté d’un budget à la mesure du défi (au moins 12% du budget annuel) à lui confié avec une véritable capacité de mobilisation des ressources propres</w:t>
            </w:r>
            <w:r w:rsidR="005A0542">
              <w:rPr>
                <w:rFonts w:cstheme="minorHAnsi"/>
                <w:i/>
              </w:rPr>
              <w:t xml:space="preserve"> ; </w:t>
            </w:r>
          </w:p>
          <w:p w:rsidR="00FD27AA" w:rsidRPr="00FD27AA" w:rsidRDefault="00FD27AA" w:rsidP="00FD27AA">
            <w:pPr>
              <w:pStyle w:val="ListParagraph"/>
              <w:numPr>
                <w:ilvl w:val="0"/>
                <w:numId w:val="9"/>
              </w:numPr>
              <w:autoSpaceDE w:val="0"/>
              <w:autoSpaceDN w:val="0"/>
              <w:adjustRightInd w:val="0"/>
              <w:spacing w:after="0" w:line="240" w:lineRule="auto"/>
              <w:ind w:left="161" w:hanging="251"/>
              <w:jc w:val="both"/>
              <w:rPr>
                <w:rFonts w:eastAsia="Times New Roman" w:cstheme="minorHAnsi"/>
                <w:i/>
                <w:lang w:eastAsia="en-GB"/>
              </w:rPr>
            </w:pPr>
            <w:r>
              <w:rPr>
                <w:rFonts w:eastAsia="Times New Roman" w:cstheme="minorHAnsi"/>
                <w:i/>
                <w:lang w:eastAsia="en-GB"/>
              </w:rPr>
              <w:t>C</w:t>
            </w:r>
            <w:r w:rsidRPr="00FD27AA">
              <w:rPr>
                <w:rFonts w:eastAsia="Times New Roman" w:cstheme="minorHAnsi"/>
                <w:i/>
                <w:lang w:eastAsia="en-GB"/>
              </w:rPr>
              <w:t>ré</w:t>
            </w:r>
            <w:r>
              <w:rPr>
                <w:rFonts w:eastAsia="Times New Roman" w:cstheme="minorHAnsi"/>
                <w:i/>
                <w:lang w:eastAsia="en-GB"/>
              </w:rPr>
              <w:t>ation d’</w:t>
            </w:r>
            <w:r w:rsidRPr="00FD27AA">
              <w:rPr>
                <w:rFonts w:eastAsia="Times New Roman" w:cstheme="minorHAnsi"/>
                <w:i/>
                <w:lang w:eastAsia="en-GB"/>
              </w:rPr>
              <w:t>un Fonds pour le Financement Durable de l’Eau (FFDE), en vue de renforcer le leadership</w:t>
            </w:r>
            <w:r w:rsidR="00994742">
              <w:rPr>
                <w:rFonts w:eastAsia="Times New Roman" w:cstheme="minorHAnsi"/>
                <w:i/>
                <w:lang w:eastAsia="en-GB"/>
              </w:rPr>
              <w:t xml:space="preserve"> </w:t>
            </w:r>
            <w:r w:rsidRPr="00FD27AA">
              <w:rPr>
                <w:rFonts w:eastAsia="Times New Roman" w:cstheme="minorHAnsi"/>
                <w:i/>
                <w:lang w:eastAsia="en-GB"/>
              </w:rPr>
              <w:t>nat</w:t>
            </w:r>
            <w:r w:rsidR="008E7125">
              <w:rPr>
                <w:rFonts w:eastAsia="Times New Roman" w:cstheme="minorHAnsi"/>
                <w:i/>
                <w:lang w:eastAsia="en-GB"/>
              </w:rPr>
              <w:t>ional en matière de gouvernance</w:t>
            </w:r>
          </w:p>
          <w:p w:rsidR="00FD27AA" w:rsidRPr="00A35021" w:rsidRDefault="00FD27AA" w:rsidP="0021517F">
            <w:pPr>
              <w:pStyle w:val="Default"/>
              <w:rPr>
                <w:rFonts w:asciiTheme="minorHAnsi" w:hAnsiTheme="minorHAnsi" w:cstheme="minorHAnsi"/>
                <w:i/>
                <w:sz w:val="22"/>
                <w:szCs w:val="22"/>
                <w:lang w:val="fr-FR"/>
              </w:rPr>
            </w:pPr>
          </w:p>
        </w:tc>
      </w:tr>
    </w:tbl>
    <w:p w:rsidR="005725C8" w:rsidRPr="00A35021" w:rsidRDefault="005725C8" w:rsidP="00FC3570">
      <w:pPr>
        <w:tabs>
          <w:tab w:val="left" w:pos="920"/>
        </w:tabs>
        <w:rPr>
          <w:rFonts w:cstheme="minorHAnsi"/>
        </w:rPr>
      </w:pPr>
    </w:p>
    <w:tbl>
      <w:tblPr>
        <w:tblStyle w:val="TableGrid"/>
        <w:tblW w:w="13865" w:type="dxa"/>
        <w:jc w:val="center"/>
        <w:tblLook w:val="04A0" w:firstRow="1" w:lastRow="0" w:firstColumn="1" w:lastColumn="0" w:noHBand="0" w:noVBand="1"/>
      </w:tblPr>
      <w:tblGrid>
        <w:gridCol w:w="2155"/>
        <w:gridCol w:w="4680"/>
        <w:gridCol w:w="3610"/>
        <w:gridCol w:w="3420"/>
      </w:tblGrid>
      <w:tr w:rsidR="00917DF3" w:rsidRPr="00A35021" w:rsidTr="006957DF">
        <w:trPr>
          <w:trHeight w:val="557"/>
          <w:jc w:val="center"/>
        </w:trPr>
        <w:tc>
          <w:tcPr>
            <w:tcW w:w="13865" w:type="dxa"/>
            <w:gridSpan w:val="4"/>
            <w:shd w:val="clear" w:color="auto" w:fill="auto"/>
          </w:tcPr>
          <w:p w:rsidR="00917DF3" w:rsidRPr="00A35021" w:rsidRDefault="00917DF3" w:rsidP="006957DF">
            <w:pPr>
              <w:shd w:val="clear" w:color="auto" w:fill="00B0F0"/>
              <w:spacing w:after="0" w:line="240" w:lineRule="auto"/>
              <w:jc w:val="both"/>
              <w:rPr>
                <w:rFonts w:eastAsia="Times New Roman" w:cstheme="minorHAnsi"/>
                <w:b/>
                <w:i/>
                <w:lang w:eastAsia="en-GB"/>
              </w:rPr>
            </w:pPr>
            <w:r w:rsidRPr="00A35021">
              <w:rPr>
                <w:rFonts w:eastAsia="Times New Roman" w:cstheme="minorHAnsi"/>
                <w:b/>
                <w:i/>
                <w:color w:val="FFFFFF" w:themeColor="background1"/>
                <w:lang w:eastAsia="en-GB"/>
              </w:rPr>
              <w:t>Roch Marc Christian KABORE, candidat du Mouvement du Peuple pour le Progrès (MPP)</w:t>
            </w:r>
          </w:p>
        </w:tc>
      </w:tr>
      <w:tr w:rsidR="003F5EFD" w:rsidRPr="00A35021" w:rsidTr="00564FD6">
        <w:trPr>
          <w:jc w:val="center"/>
        </w:trPr>
        <w:tc>
          <w:tcPr>
            <w:tcW w:w="2155"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Existence d’une vision</w:t>
            </w:r>
            <w:r w:rsidR="00115B3B" w:rsidRPr="00A35021">
              <w:rPr>
                <w:rFonts w:eastAsia="Times New Roman" w:cstheme="minorHAnsi"/>
                <w:b/>
                <w:i/>
                <w:color w:val="FFFFFF" w:themeColor="background1"/>
                <w:lang w:eastAsia="en-GB"/>
              </w:rPr>
              <w:t> /</w:t>
            </w:r>
            <w:r w:rsidRPr="00A35021">
              <w:rPr>
                <w:rFonts w:eastAsia="Times New Roman" w:cstheme="minorHAnsi"/>
                <w:b/>
                <w:i/>
                <w:color w:val="FFFFFF" w:themeColor="background1"/>
                <w:lang w:eastAsia="en-GB"/>
              </w:rPr>
              <w:t xml:space="preserve"> orientation stratégique </w:t>
            </w:r>
          </w:p>
        </w:tc>
        <w:tc>
          <w:tcPr>
            <w:tcW w:w="468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361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342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3F5EFD" w:rsidRPr="00A35021" w:rsidTr="00564FD6">
        <w:trPr>
          <w:jc w:val="center"/>
        </w:trPr>
        <w:tc>
          <w:tcPr>
            <w:tcW w:w="2155" w:type="dxa"/>
            <w:shd w:val="clear" w:color="auto" w:fill="auto"/>
          </w:tcPr>
          <w:p w:rsidR="003F5EFD" w:rsidRPr="00A35021" w:rsidRDefault="003F5EFD" w:rsidP="0021517F">
            <w:pPr>
              <w:spacing w:after="0" w:line="240" w:lineRule="auto"/>
              <w:jc w:val="both"/>
              <w:rPr>
                <w:rFonts w:eastAsia="Times New Roman" w:cstheme="minorHAnsi"/>
                <w:b/>
                <w:i/>
                <w:lang w:eastAsia="en-GB"/>
              </w:rPr>
            </w:pPr>
            <w:r w:rsidRPr="00A35021">
              <w:rPr>
                <w:rFonts w:eastAsia="Times New Roman" w:cstheme="minorHAnsi"/>
                <w:b/>
                <w:i/>
                <w:lang w:eastAsia="en-GB"/>
              </w:rPr>
              <w:t>L’accès universel aux services sociaux de base</w:t>
            </w:r>
          </w:p>
          <w:p w:rsidR="003F5EFD" w:rsidRPr="00A35021" w:rsidRDefault="003F5EFD" w:rsidP="0021517F">
            <w:pPr>
              <w:spacing w:after="0" w:line="240" w:lineRule="auto"/>
              <w:jc w:val="both"/>
              <w:rPr>
                <w:rFonts w:eastAsia="Times New Roman" w:cstheme="minorHAnsi"/>
                <w:b/>
                <w:i/>
                <w:lang w:eastAsia="en-GB"/>
              </w:rPr>
            </w:pPr>
            <w:r w:rsidRPr="00A35021">
              <w:rPr>
                <w:rFonts w:eastAsia="Times New Roman" w:cstheme="minorHAnsi"/>
                <w:b/>
                <w:i/>
                <w:lang w:eastAsia="en-GB"/>
              </w:rPr>
              <w:t xml:space="preserve">L’eau et l’assainissement sont inscrits dans la consolidation </w:t>
            </w:r>
            <w:r w:rsidR="00697ACC" w:rsidRPr="00A35021">
              <w:rPr>
                <w:rFonts w:eastAsia="Times New Roman" w:cstheme="minorHAnsi"/>
                <w:b/>
                <w:i/>
                <w:lang w:eastAsia="en-GB"/>
              </w:rPr>
              <w:t>de l’investissement</w:t>
            </w:r>
            <w:r w:rsidRPr="00A35021">
              <w:rPr>
                <w:rFonts w:eastAsia="Times New Roman" w:cstheme="minorHAnsi"/>
                <w:b/>
                <w:i/>
                <w:lang w:eastAsia="en-GB"/>
              </w:rPr>
              <w:t xml:space="preserve"> dans le bien-être social.</w:t>
            </w:r>
          </w:p>
          <w:p w:rsidR="003F5EFD" w:rsidRPr="00A35021" w:rsidRDefault="003F5EFD" w:rsidP="0021517F">
            <w:pPr>
              <w:spacing w:after="0" w:line="240" w:lineRule="auto"/>
              <w:jc w:val="both"/>
              <w:rPr>
                <w:rFonts w:eastAsia="Times New Roman" w:cstheme="minorHAnsi"/>
                <w:b/>
                <w:i/>
                <w:lang w:eastAsia="en-GB"/>
              </w:rPr>
            </w:pPr>
          </w:p>
          <w:p w:rsidR="003F5EFD" w:rsidRPr="00A35021" w:rsidRDefault="003F5EFD" w:rsidP="0021517F">
            <w:pPr>
              <w:spacing w:after="0" w:line="240" w:lineRule="auto"/>
              <w:jc w:val="both"/>
              <w:rPr>
                <w:rFonts w:eastAsia="Times New Roman" w:cstheme="minorHAnsi"/>
                <w:b/>
                <w:i/>
                <w:lang w:eastAsia="en-GB"/>
              </w:rPr>
            </w:pPr>
            <w:r w:rsidRPr="00A35021">
              <w:rPr>
                <w:rFonts w:eastAsia="Times New Roman" w:cstheme="minorHAnsi"/>
                <w:b/>
                <w:i/>
                <w:lang w:eastAsia="en-GB"/>
              </w:rPr>
              <w:t xml:space="preserve">En matière d’accès à l’eau potable, nous allons poursuivre les efforts pour consolider les acquis afin d’atteindre l’objectif de « zéro </w:t>
            </w:r>
            <w:r w:rsidRPr="00A35021">
              <w:rPr>
                <w:rFonts w:eastAsia="Times New Roman" w:cstheme="minorHAnsi"/>
                <w:b/>
                <w:i/>
                <w:lang w:eastAsia="en-GB"/>
              </w:rPr>
              <w:lastRenderedPageBreak/>
              <w:t>corvée d’eau » et de faciliter son accès à toutes les couches sociales.</w:t>
            </w:r>
          </w:p>
        </w:tc>
        <w:tc>
          <w:tcPr>
            <w:tcW w:w="4680" w:type="dxa"/>
            <w:shd w:val="clear" w:color="auto" w:fill="auto"/>
          </w:tcPr>
          <w:p w:rsidR="007D01B5" w:rsidRPr="00CD2611" w:rsidRDefault="007D01B5" w:rsidP="007D01B5">
            <w:pPr>
              <w:spacing w:after="0" w:line="240" w:lineRule="auto"/>
              <w:jc w:val="both"/>
              <w:rPr>
                <w:rFonts w:eastAsia="Times New Roman" w:cstheme="minorHAnsi"/>
                <w:b/>
                <w:i/>
                <w:u w:val="single"/>
                <w:lang w:eastAsia="en-GB"/>
              </w:rPr>
            </w:pPr>
            <w:r w:rsidRPr="00CD2611">
              <w:rPr>
                <w:rFonts w:eastAsia="Times New Roman" w:cstheme="minorHAnsi"/>
                <w:b/>
                <w:i/>
                <w:u w:val="single"/>
                <w:lang w:eastAsia="en-GB"/>
              </w:rPr>
              <w:lastRenderedPageBreak/>
              <w:t xml:space="preserve">Pour l’accès à l’eau </w:t>
            </w:r>
          </w:p>
          <w:p w:rsidR="007D01B5" w:rsidRPr="007D01B5" w:rsidRDefault="007D01B5" w:rsidP="007D01B5">
            <w:pPr>
              <w:spacing w:after="0" w:line="240" w:lineRule="auto"/>
              <w:jc w:val="both"/>
              <w:rPr>
                <w:rFonts w:eastAsia="Times New Roman" w:cstheme="minorHAnsi"/>
                <w:i/>
                <w:lang w:eastAsia="en-GB"/>
              </w:rPr>
            </w:pPr>
            <w:r>
              <w:rPr>
                <w:rFonts w:eastAsia="Times New Roman" w:cstheme="minorHAnsi"/>
                <w:i/>
                <w:lang w:eastAsia="en-GB"/>
              </w:rPr>
              <w:t xml:space="preserve"> </w:t>
            </w:r>
          </w:p>
          <w:p w:rsidR="003F5EFD" w:rsidRPr="00A35021" w:rsidRDefault="007D01B5" w:rsidP="007D01B5">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R</w:t>
            </w:r>
            <w:r w:rsidR="003F5EFD" w:rsidRPr="00A35021">
              <w:rPr>
                <w:rFonts w:eastAsia="Times New Roman" w:cstheme="minorHAnsi"/>
                <w:i/>
                <w:lang w:eastAsia="en-GB"/>
              </w:rPr>
              <w:t>éalis</w:t>
            </w:r>
            <w:r>
              <w:rPr>
                <w:rFonts w:eastAsia="Times New Roman" w:cstheme="minorHAnsi"/>
                <w:i/>
                <w:lang w:eastAsia="en-GB"/>
              </w:rPr>
              <w:t xml:space="preserve">er </w:t>
            </w:r>
            <w:r w:rsidR="003F5EFD" w:rsidRPr="00A35021">
              <w:rPr>
                <w:rFonts w:eastAsia="Times New Roman" w:cstheme="minorHAnsi"/>
                <w:i/>
                <w:lang w:eastAsia="en-GB"/>
              </w:rPr>
              <w:t>ou m</w:t>
            </w:r>
            <w:r>
              <w:rPr>
                <w:rFonts w:eastAsia="Times New Roman" w:cstheme="minorHAnsi"/>
                <w:i/>
                <w:lang w:eastAsia="en-GB"/>
              </w:rPr>
              <w:t xml:space="preserve">ettre </w:t>
            </w:r>
            <w:r w:rsidR="003F5EFD" w:rsidRPr="00A35021">
              <w:rPr>
                <w:rFonts w:eastAsia="Times New Roman" w:cstheme="minorHAnsi"/>
                <w:i/>
                <w:lang w:eastAsia="en-GB"/>
              </w:rPr>
              <w:t>à niveau des Adductions d’Eau Potable Simplifiées (AEPS) dans tous les chefs-lieux de communes et les localités de plus de 2000 habitants</w:t>
            </w:r>
            <w:r>
              <w:rPr>
                <w:rFonts w:eastAsia="Times New Roman" w:cstheme="minorHAnsi"/>
                <w:i/>
                <w:lang w:eastAsia="en-GB"/>
              </w:rPr>
              <w:t xml:space="preserve"> ; </w:t>
            </w:r>
          </w:p>
          <w:p w:rsidR="00192D59" w:rsidRDefault="007D01B5" w:rsidP="0021517F">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 xml:space="preserve">Réaliser </w:t>
            </w:r>
            <w:r w:rsidR="003F5EFD" w:rsidRPr="00A35021">
              <w:rPr>
                <w:rFonts w:eastAsia="Times New Roman" w:cstheme="minorHAnsi"/>
                <w:i/>
                <w:lang w:eastAsia="en-GB"/>
              </w:rPr>
              <w:t xml:space="preserve">90 </w:t>
            </w:r>
            <w:r w:rsidRPr="00A35021">
              <w:rPr>
                <w:rFonts w:eastAsia="Times New Roman" w:cstheme="minorHAnsi"/>
                <w:i/>
                <w:lang w:eastAsia="en-GB"/>
              </w:rPr>
              <w:t>Adductions d’Eau p</w:t>
            </w:r>
            <w:r>
              <w:rPr>
                <w:rFonts w:eastAsia="Times New Roman" w:cstheme="minorHAnsi"/>
                <w:i/>
                <w:lang w:eastAsia="en-GB"/>
              </w:rPr>
              <w:t>otable Multi-Villages (AEP- MV</w:t>
            </w:r>
            <w:r w:rsidR="002667E8">
              <w:rPr>
                <w:rFonts w:eastAsia="Times New Roman" w:cstheme="minorHAnsi"/>
                <w:i/>
                <w:lang w:eastAsia="en-GB"/>
              </w:rPr>
              <w:t>),</w:t>
            </w:r>
            <w:r w:rsidR="003F5EFD" w:rsidRPr="00A35021">
              <w:rPr>
                <w:rFonts w:eastAsia="Times New Roman" w:cstheme="minorHAnsi"/>
                <w:i/>
                <w:lang w:eastAsia="en-GB"/>
              </w:rPr>
              <w:t xml:space="preserve"> 475 AEPS neuves, 8</w:t>
            </w:r>
            <w:r w:rsidR="00192D59">
              <w:rPr>
                <w:rFonts w:eastAsia="Times New Roman" w:cstheme="minorHAnsi"/>
                <w:i/>
                <w:lang w:eastAsia="en-GB"/>
              </w:rPr>
              <w:t xml:space="preserve">0 réhabilitations d’AEPS et 664 ; </w:t>
            </w:r>
          </w:p>
          <w:p w:rsidR="003F5EFD" w:rsidRPr="00A35021" w:rsidRDefault="00192D59" w:rsidP="0021517F">
            <w:pPr>
              <w:pStyle w:val="ListParagraph"/>
              <w:numPr>
                <w:ilvl w:val="0"/>
                <w:numId w:val="9"/>
              </w:numPr>
              <w:spacing w:after="0" w:line="240" w:lineRule="auto"/>
              <w:ind w:left="161" w:hanging="251"/>
              <w:jc w:val="both"/>
              <w:rPr>
                <w:rFonts w:eastAsia="Times New Roman" w:cstheme="minorHAnsi"/>
                <w:i/>
                <w:lang w:eastAsia="en-GB"/>
              </w:rPr>
            </w:pPr>
            <w:r>
              <w:rPr>
                <w:rFonts w:eastAsia="Times New Roman" w:cstheme="minorHAnsi"/>
                <w:i/>
                <w:lang w:eastAsia="en-GB"/>
              </w:rPr>
              <w:t xml:space="preserve">Mettre </w:t>
            </w:r>
            <w:r w:rsidR="003F5EFD" w:rsidRPr="00A35021">
              <w:rPr>
                <w:rFonts w:eastAsia="Times New Roman" w:cstheme="minorHAnsi"/>
                <w:i/>
                <w:lang w:eastAsia="en-GB"/>
              </w:rPr>
              <w:t xml:space="preserve">à niveau </w:t>
            </w:r>
            <w:r>
              <w:rPr>
                <w:rFonts w:eastAsia="Times New Roman" w:cstheme="minorHAnsi"/>
                <w:i/>
                <w:lang w:eastAsia="en-GB"/>
              </w:rPr>
              <w:t xml:space="preserve">les </w:t>
            </w:r>
            <w:r w:rsidR="003F5EFD" w:rsidRPr="00A35021">
              <w:rPr>
                <w:rFonts w:eastAsia="Times New Roman" w:cstheme="minorHAnsi"/>
                <w:i/>
                <w:lang w:eastAsia="en-GB"/>
              </w:rPr>
              <w:t>AEPS dans les chefs-lieux de communes rurales et les localités d’au moins 2 000 habitants</w:t>
            </w:r>
            <w:r w:rsidR="00693297">
              <w:rPr>
                <w:rFonts w:eastAsia="Times New Roman" w:cstheme="minorHAnsi"/>
                <w:i/>
                <w:lang w:eastAsia="en-GB"/>
              </w:rPr>
              <w:t xml:space="preserve"> ; </w:t>
            </w:r>
          </w:p>
          <w:p w:rsidR="00192D59" w:rsidRPr="00192D59" w:rsidRDefault="00192D59" w:rsidP="0021517F">
            <w:pPr>
              <w:pStyle w:val="ListParagraph"/>
              <w:numPr>
                <w:ilvl w:val="0"/>
                <w:numId w:val="9"/>
              </w:numPr>
              <w:spacing w:after="0" w:line="240" w:lineRule="auto"/>
              <w:ind w:left="161" w:hanging="251"/>
              <w:jc w:val="both"/>
              <w:rPr>
                <w:rFonts w:eastAsia="Times New Roman" w:cstheme="minorHAnsi"/>
                <w:b/>
                <w:i/>
                <w:lang w:eastAsia="en-GB"/>
              </w:rPr>
            </w:pPr>
            <w:r w:rsidRPr="00A35021">
              <w:rPr>
                <w:rFonts w:eastAsia="Times New Roman" w:cstheme="minorHAnsi"/>
                <w:i/>
                <w:lang w:eastAsia="en-GB"/>
              </w:rPr>
              <w:t xml:space="preserve">Créer </w:t>
            </w:r>
            <w:r>
              <w:rPr>
                <w:rFonts w:eastAsia="Times New Roman" w:cstheme="minorHAnsi"/>
                <w:i/>
                <w:lang w:eastAsia="en-GB"/>
              </w:rPr>
              <w:t>e</w:t>
            </w:r>
            <w:r w:rsidR="003F5EFD" w:rsidRPr="00A35021">
              <w:rPr>
                <w:rFonts w:eastAsia="Times New Roman" w:cstheme="minorHAnsi"/>
                <w:i/>
                <w:lang w:eastAsia="en-GB"/>
              </w:rPr>
              <w:t>n milieu urbain</w:t>
            </w:r>
            <w:r>
              <w:rPr>
                <w:rFonts w:eastAsia="Times New Roman" w:cstheme="minorHAnsi"/>
                <w:i/>
                <w:lang w:eastAsia="en-GB"/>
              </w:rPr>
              <w:t xml:space="preserve"> </w:t>
            </w:r>
            <w:r w:rsidR="003F5EFD" w:rsidRPr="00A35021">
              <w:rPr>
                <w:rFonts w:eastAsia="Times New Roman" w:cstheme="minorHAnsi"/>
                <w:i/>
                <w:lang w:eastAsia="en-GB"/>
              </w:rPr>
              <w:t>16 nouveaux centres d’exploitation d’eau potable</w:t>
            </w:r>
            <w:r>
              <w:rPr>
                <w:rFonts w:eastAsia="Times New Roman" w:cstheme="minorHAnsi"/>
                <w:i/>
                <w:lang w:eastAsia="en-GB"/>
              </w:rPr>
              <w:t xml:space="preserve"> ; </w:t>
            </w:r>
          </w:p>
          <w:p w:rsidR="003F5EFD" w:rsidRPr="00564FD6" w:rsidRDefault="00192D59" w:rsidP="0021517F">
            <w:pPr>
              <w:pStyle w:val="ListParagraph"/>
              <w:numPr>
                <w:ilvl w:val="0"/>
                <w:numId w:val="9"/>
              </w:numPr>
              <w:spacing w:after="0" w:line="240" w:lineRule="auto"/>
              <w:ind w:left="161" w:hanging="251"/>
              <w:jc w:val="both"/>
              <w:rPr>
                <w:rFonts w:eastAsia="Times New Roman" w:cstheme="minorHAnsi"/>
                <w:b/>
                <w:i/>
                <w:lang w:eastAsia="en-GB"/>
              </w:rPr>
            </w:pPr>
            <w:r>
              <w:rPr>
                <w:rFonts w:eastAsia="Times New Roman" w:cstheme="minorHAnsi"/>
                <w:i/>
                <w:lang w:eastAsia="en-GB"/>
              </w:rPr>
              <w:t>R</w:t>
            </w:r>
            <w:r w:rsidR="003F5EFD" w:rsidRPr="00A35021">
              <w:rPr>
                <w:rFonts w:eastAsia="Times New Roman" w:cstheme="minorHAnsi"/>
                <w:i/>
                <w:lang w:eastAsia="en-GB"/>
              </w:rPr>
              <w:t xml:space="preserve">éaliser 215 000 </w:t>
            </w:r>
            <w:r w:rsidR="003F5EFD" w:rsidRPr="00192D59">
              <w:rPr>
                <w:rFonts w:eastAsia="Times New Roman" w:cstheme="minorHAnsi"/>
                <w:i/>
                <w:lang w:eastAsia="en-GB"/>
              </w:rPr>
              <w:t>branchements</w:t>
            </w:r>
            <w:r w:rsidR="00564FD6">
              <w:rPr>
                <w:rFonts w:eastAsia="Times New Roman" w:cstheme="minorHAnsi"/>
                <w:i/>
                <w:lang w:eastAsia="en-GB"/>
              </w:rPr>
              <w:t xml:space="preserve"> particuliers et </w:t>
            </w:r>
            <w:r w:rsidR="003F5EFD" w:rsidRPr="00192D59">
              <w:rPr>
                <w:rFonts w:eastAsia="Times New Roman" w:cstheme="minorHAnsi"/>
                <w:i/>
                <w:lang w:eastAsia="en-GB"/>
              </w:rPr>
              <w:t>construire 500 bornes fontaines</w:t>
            </w:r>
            <w:r w:rsidR="00564FD6">
              <w:rPr>
                <w:rFonts w:eastAsia="Times New Roman" w:cstheme="minorHAnsi"/>
                <w:i/>
                <w:lang w:eastAsia="en-GB"/>
              </w:rPr>
              <w:t xml:space="preserve"> ; </w:t>
            </w:r>
          </w:p>
          <w:p w:rsidR="00564FD6" w:rsidRPr="00564FD6" w:rsidRDefault="00564FD6" w:rsidP="00564FD6">
            <w:pPr>
              <w:pStyle w:val="ListParagraph"/>
              <w:numPr>
                <w:ilvl w:val="0"/>
                <w:numId w:val="9"/>
              </w:numPr>
              <w:spacing w:after="0" w:line="240" w:lineRule="auto"/>
              <w:ind w:left="161" w:hanging="251"/>
              <w:jc w:val="both"/>
              <w:rPr>
                <w:rFonts w:eastAsia="Times New Roman" w:cstheme="minorHAnsi"/>
                <w:i/>
                <w:lang w:eastAsia="en-GB"/>
              </w:rPr>
            </w:pPr>
            <w:r w:rsidRPr="00564FD6">
              <w:rPr>
                <w:rFonts w:eastAsia="Times New Roman" w:cstheme="minorHAnsi"/>
                <w:i/>
                <w:lang w:eastAsia="en-GB"/>
              </w:rPr>
              <w:t>Réaliser 20 nouveaux barrages</w:t>
            </w:r>
            <w:r>
              <w:rPr>
                <w:rFonts w:eastAsia="Times New Roman" w:cstheme="minorHAnsi"/>
                <w:i/>
                <w:lang w:eastAsia="en-GB"/>
              </w:rPr>
              <w:t xml:space="preserve"> ; </w:t>
            </w:r>
            <w:r w:rsidRPr="00564FD6">
              <w:rPr>
                <w:rFonts w:eastAsia="Times New Roman" w:cstheme="minorHAnsi"/>
                <w:i/>
                <w:lang w:eastAsia="en-GB"/>
              </w:rPr>
              <w:t xml:space="preserve"> </w:t>
            </w:r>
          </w:p>
          <w:p w:rsidR="00564FD6" w:rsidRPr="00564FD6" w:rsidRDefault="00564FD6" w:rsidP="00564FD6">
            <w:pPr>
              <w:pStyle w:val="ListParagraph"/>
              <w:numPr>
                <w:ilvl w:val="0"/>
                <w:numId w:val="9"/>
              </w:numPr>
              <w:spacing w:after="0" w:line="240" w:lineRule="auto"/>
              <w:ind w:left="161" w:hanging="251"/>
              <w:jc w:val="both"/>
              <w:rPr>
                <w:rFonts w:eastAsia="Times New Roman" w:cstheme="minorHAnsi"/>
                <w:i/>
                <w:lang w:eastAsia="en-GB"/>
              </w:rPr>
            </w:pPr>
            <w:r w:rsidRPr="00564FD6">
              <w:rPr>
                <w:rFonts w:eastAsia="Times New Roman" w:cstheme="minorHAnsi"/>
                <w:i/>
                <w:lang w:eastAsia="en-GB"/>
              </w:rPr>
              <w:t xml:space="preserve">Réhabiliter 30 barrages dégradés. </w:t>
            </w:r>
          </w:p>
          <w:p w:rsidR="00564FD6" w:rsidRPr="00564FD6" w:rsidRDefault="00564FD6" w:rsidP="00564FD6">
            <w:pPr>
              <w:spacing w:after="0" w:line="240" w:lineRule="auto"/>
              <w:ind w:left="-90"/>
              <w:jc w:val="both"/>
              <w:rPr>
                <w:rFonts w:eastAsia="Times New Roman" w:cstheme="minorHAnsi"/>
                <w:b/>
                <w:i/>
                <w:lang w:eastAsia="en-GB"/>
              </w:rPr>
            </w:pPr>
          </w:p>
          <w:p w:rsidR="003F5EFD" w:rsidRDefault="003F5EFD" w:rsidP="0021517F">
            <w:pPr>
              <w:spacing w:after="0" w:line="240" w:lineRule="auto"/>
              <w:jc w:val="both"/>
              <w:rPr>
                <w:rFonts w:eastAsia="Times New Roman" w:cstheme="minorHAnsi"/>
                <w:b/>
                <w:i/>
                <w:lang w:eastAsia="en-GB"/>
              </w:rPr>
            </w:pPr>
          </w:p>
          <w:p w:rsidR="00564FD6" w:rsidRDefault="00564FD6" w:rsidP="00564FD6">
            <w:pPr>
              <w:spacing w:after="0" w:line="240" w:lineRule="auto"/>
              <w:jc w:val="both"/>
              <w:rPr>
                <w:rFonts w:cstheme="minorHAnsi"/>
                <w:b/>
                <w:bCs/>
                <w:i/>
              </w:rPr>
            </w:pPr>
            <w:r>
              <w:rPr>
                <w:rFonts w:eastAsia="Times New Roman" w:cstheme="minorHAnsi"/>
                <w:b/>
                <w:i/>
                <w:u w:val="single"/>
                <w:lang w:eastAsia="en-GB"/>
              </w:rPr>
              <w:t>Pour l’h</w:t>
            </w:r>
            <w:r w:rsidRPr="00CD2611">
              <w:rPr>
                <w:rFonts w:eastAsia="Times New Roman" w:cstheme="minorHAnsi"/>
                <w:b/>
                <w:i/>
                <w:u w:val="single"/>
                <w:lang w:eastAsia="en-GB"/>
              </w:rPr>
              <w:t xml:space="preserve">ygiène et </w:t>
            </w:r>
            <w:r>
              <w:rPr>
                <w:rFonts w:eastAsia="Times New Roman" w:cstheme="minorHAnsi"/>
                <w:b/>
                <w:i/>
                <w:u w:val="single"/>
                <w:lang w:eastAsia="en-GB"/>
              </w:rPr>
              <w:t>l’assainissement</w:t>
            </w:r>
            <w:r w:rsidRPr="00A35021">
              <w:rPr>
                <w:rFonts w:cstheme="minorHAnsi"/>
                <w:b/>
                <w:bCs/>
                <w:i/>
              </w:rPr>
              <w:t xml:space="preserve"> </w:t>
            </w:r>
          </w:p>
          <w:p w:rsidR="00564FD6" w:rsidRPr="00A35021" w:rsidRDefault="00564FD6" w:rsidP="0021517F">
            <w:pPr>
              <w:spacing w:after="0" w:line="240" w:lineRule="auto"/>
              <w:jc w:val="both"/>
              <w:rPr>
                <w:rFonts w:eastAsia="Times New Roman" w:cstheme="minorHAnsi"/>
                <w:b/>
                <w:i/>
                <w:lang w:eastAsia="en-GB"/>
              </w:rPr>
            </w:pPr>
          </w:p>
          <w:p w:rsidR="003F5EFD" w:rsidRPr="00A35021" w:rsidRDefault="00564FD6"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Réaliser</w:t>
            </w:r>
            <w:r w:rsidR="003F5EFD" w:rsidRPr="00A35021">
              <w:rPr>
                <w:rFonts w:eastAsia="Times New Roman" w:cstheme="minorHAnsi"/>
                <w:i/>
                <w:lang w:eastAsia="en-GB"/>
              </w:rPr>
              <w:t xml:space="preserve"> 300 000 latrines familiales dont 200 000 en milieu rural et 100 000 en milieu urbain ; </w:t>
            </w:r>
          </w:p>
          <w:p w:rsidR="003F5EFD" w:rsidRPr="00A35021" w:rsidRDefault="00564FD6"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Réaliser</w:t>
            </w:r>
            <w:r w:rsidR="003F5EFD" w:rsidRPr="00A35021">
              <w:rPr>
                <w:rFonts w:eastAsia="Times New Roman" w:cstheme="minorHAnsi"/>
                <w:i/>
                <w:lang w:eastAsia="en-GB"/>
              </w:rPr>
              <w:t xml:space="preserve"> 150 000 puisards domestiques dont 50 000 en milieu rural et 100 000 en milieu urbain ; </w:t>
            </w:r>
          </w:p>
          <w:p w:rsidR="003F5EFD" w:rsidRPr="00A35021" w:rsidRDefault="00564FD6"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Construire</w:t>
            </w:r>
            <w:r w:rsidR="003F5EFD" w:rsidRPr="00A35021">
              <w:rPr>
                <w:rFonts w:eastAsia="Times New Roman" w:cstheme="minorHAnsi"/>
                <w:i/>
                <w:lang w:eastAsia="en-GB"/>
              </w:rPr>
              <w:t xml:space="preserve"> 3 500 latrines communautaires : dont 2 000 en milieu rural et 1 500 en milieu urbain ; </w:t>
            </w:r>
          </w:p>
          <w:p w:rsidR="00564FD6" w:rsidRPr="00564FD6" w:rsidRDefault="00564FD6" w:rsidP="00564FD6">
            <w:pPr>
              <w:pStyle w:val="ListParagraph"/>
              <w:numPr>
                <w:ilvl w:val="0"/>
                <w:numId w:val="9"/>
              </w:numPr>
              <w:spacing w:after="0" w:line="240" w:lineRule="auto"/>
              <w:ind w:left="161" w:hanging="251"/>
              <w:jc w:val="both"/>
              <w:rPr>
                <w:rStyle w:val="A6"/>
                <w:rFonts w:cstheme="minorHAnsi"/>
                <w:i/>
                <w:color w:val="auto"/>
                <w:sz w:val="22"/>
                <w:szCs w:val="22"/>
              </w:rPr>
            </w:pPr>
            <w:r w:rsidRPr="00564FD6">
              <w:rPr>
                <w:rFonts w:eastAsia="Times New Roman" w:cstheme="minorHAnsi"/>
                <w:i/>
                <w:lang w:eastAsia="en-GB"/>
              </w:rPr>
              <w:t>Construire</w:t>
            </w:r>
            <w:r w:rsidR="003F5EFD" w:rsidRPr="00564FD6">
              <w:rPr>
                <w:rFonts w:eastAsia="Times New Roman" w:cstheme="minorHAnsi"/>
                <w:i/>
                <w:lang w:eastAsia="en-GB"/>
              </w:rPr>
              <w:t xml:space="preserve"> 7 stations de traitement des boues de vidange dont </w:t>
            </w:r>
            <w:r w:rsidRPr="00564FD6">
              <w:rPr>
                <w:rFonts w:eastAsia="Times New Roman" w:cstheme="minorHAnsi"/>
                <w:i/>
                <w:lang w:eastAsia="en-GB"/>
              </w:rPr>
              <w:t>(2</w:t>
            </w:r>
            <w:r w:rsidR="003F5EFD" w:rsidRPr="00564FD6">
              <w:rPr>
                <w:rStyle w:val="A6"/>
                <w:rFonts w:cstheme="minorHAnsi"/>
                <w:i/>
                <w:sz w:val="22"/>
                <w:szCs w:val="22"/>
              </w:rPr>
              <w:t xml:space="preserve"> stations à Ouagadougou, 2 stations à Bobo-Dioulasso, 1 station à Banfora, 1 station à Koudougou, 1 station à Ouahigouya)</w:t>
            </w:r>
            <w:r>
              <w:rPr>
                <w:rStyle w:val="A6"/>
                <w:rFonts w:cstheme="minorHAnsi"/>
                <w:i/>
                <w:sz w:val="22"/>
                <w:szCs w:val="22"/>
              </w:rPr>
              <w:t xml:space="preserve"> ; </w:t>
            </w:r>
          </w:p>
          <w:p w:rsidR="003F5EFD" w:rsidRPr="00160980" w:rsidRDefault="00564FD6" w:rsidP="00160980">
            <w:pPr>
              <w:pStyle w:val="ListParagraph"/>
              <w:numPr>
                <w:ilvl w:val="0"/>
                <w:numId w:val="9"/>
              </w:numPr>
              <w:spacing w:after="0" w:line="240" w:lineRule="auto"/>
              <w:ind w:left="161" w:hanging="251"/>
              <w:jc w:val="both"/>
              <w:rPr>
                <w:rFonts w:cstheme="minorHAnsi"/>
                <w:i/>
              </w:rPr>
            </w:pPr>
            <w:r w:rsidRPr="00564FD6">
              <w:rPr>
                <w:rStyle w:val="A6"/>
                <w:rFonts w:cstheme="minorHAnsi"/>
                <w:i/>
                <w:sz w:val="22"/>
                <w:szCs w:val="22"/>
              </w:rPr>
              <w:t>Étendre</w:t>
            </w:r>
            <w:r w:rsidR="003F5EFD" w:rsidRPr="00564FD6">
              <w:rPr>
                <w:rStyle w:val="A6"/>
                <w:rFonts w:cstheme="minorHAnsi"/>
                <w:i/>
                <w:sz w:val="22"/>
                <w:szCs w:val="22"/>
              </w:rPr>
              <w:t xml:space="preserve"> de 100 km le réseau d’égouts en milieu urbain. </w:t>
            </w:r>
          </w:p>
        </w:tc>
        <w:tc>
          <w:tcPr>
            <w:tcW w:w="3610" w:type="dxa"/>
            <w:shd w:val="clear" w:color="auto" w:fill="auto"/>
          </w:tcPr>
          <w:p w:rsidR="003F5EFD" w:rsidRPr="001A61E2" w:rsidRDefault="009350EC" w:rsidP="009350EC">
            <w:pPr>
              <w:pStyle w:val="ListParagraph"/>
              <w:numPr>
                <w:ilvl w:val="0"/>
                <w:numId w:val="9"/>
              </w:numPr>
              <w:spacing w:after="0" w:line="240" w:lineRule="auto"/>
              <w:ind w:left="161" w:hanging="251"/>
              <w:jc w:val="both"/>
              <w:rPr>
                <w:rFonts w:eastAsia="Times New Roman" w:cstheme="minorHAnsi"/>
                <w:i/>
                <w:lang w:eastAsia="en-GB"/>
              </w:rPr>
            </w:pPr>
            <w:r w:rsidRPr="001A61E2">
              <w:rPr>
                <w:rFonts w:eastAsia="Times New Roman" w:cstheme="minorHAnsi"/>
                <w:i/>
                <w:lang w:eastAsia="en-GB"/>
              </w:rPr>
              <w:lastRenderedPageBreak/>
              <w:t>M</w:t>
            </w:r>
            <w:r w:rsidR="00F634D4" w:rsidRPr="001A61E2">
              <w:rPr>
                <w:rFonts w:eastAsia="Times New Roman" w:cstheme="minorHAnsi"/>
                <w:i/>
                <w:lang w:eastAsia="en-GB"/>
              </w:rPr>
              <w:t>ettre l’acce</w:t>
            </w:r>
            <w:r w:rsidR="003F5EFD" w:rsidRPr="001A61E2">
              <w:rPr>
                <w:rFonts w:eastAsia="Times New Roman" w:cstheme="minorHAnsi"/>
                <w:i/>
                <w:lang w:eastAsia="en-GB"/>
              </w:rPr>
              <w:t>nt sur le développement de l’approche service</w:t>
            </w:r>
            <w:r w:rsidRPr="001A61E2">
              <w:rPr>
                <w:rFonts w:eastAsia="Times New Roman" w:cstheme="minorHAnsi"/>
                <w:i/>
                <w:lang w:eastAsia="en-GB"/>
              </w:rPr>
              <w:t xml:space="preserve"> ; </w:t>
            </w:r>
          </w:p>
          <w:p w:rsidR="009350EC" w:rsidRPr="001A61E2" w:rsidRDefault="009350EC" w:rsidP="009350EC">
            <w:pPr>
              <w:pStyle w:val="ListParagraph"/>
              <w:numPr>
                <w:ilvl w:val="0"/>
                <w:numId w:val="9"/>
              </w:numPr>
              <w:spacing w:after="0" w:line="240" w:lineRule="auto"/>
              <w:ind w:left="161" w:hanging="251"/>
              <w:jc w:val="both"/>
              <w:rPr>
                <w:rFonts w:eastAsia="Times New Roman"/>
                <w:i/>
                <w:lang w:eastAsia="en-GB"/>
              </w:rPr>
            </w:pPr>
            <w:r w:rsidRPr="001A61E2">
              <w:rPr>
                <w:rFonts w:eastAsia="Times New Roman"/>
                <w:i/>
                <w:lang w:eastAsia="en-GB"/>
              </w:rPr>
              <w:t>Elaboration et mis</w:t>
            </w:r>
            <w:r w:rsidR="001A61E2">
              <w:rPr>
                <w:rFonts w:eastAsia="Times New Roman"/>
                <w:i/>
                <w:lang w:eastAsia="en-GB"/>
              </w:rPr>
              <w:t>e</w:t>
            </w:r>
            <w:r w:rsidRPr="001A61E2">
              <w:rPr>
                <w:rFonts w:eastAsia="Times New Roman"/>
                <w:i/>
                <w:lang w:eastAsia="en-GB"/>
              </w:rPr>
              <w:t xml:space="preserve"> en œuvre d’</w:t>
            </w:r>
            <w:r w:rsidR="003F5EFD" w:rsidRPr="001A61E2">
              <w:rPr>
                <w:rFonts w:eastAsia="Times New Roman"/>
                <w:i/>
                <w:lang w:eastAsia="en-GB"/>
              </w:rPr>
              <w:t>un schéma d’aménagement et de gestion de l’eau du complexe Sourou-</w:t>
            </w:r>
            <w:proofErr w:type="spellStart"/>
            <w:r w:rsidR="003F5EFD" w:rsidRPr="001A61E2">
              <w:rPr>
                <w:rFonts w:eastAsia="Times New Roman"/>
                <w:i/>
                <w:lang w:eastAsia="en-GB"/>
              </w:rPr>
              <w:t>Samendéni</w:t>
            </w:r>
            <w:proofErr w:type="spellEnd"/>
            <w:r w:rsidR="003F5EFD" w:rsidRPr="001A61E2">
              <w:rPr>
                <w:rFonts w:eastAsia="Times New Roman"/>
                <w:i/>
                <w:lang w:eastAsia="en-GB"/>
              </w:rPr>
              <w:t xml:space="preserve"> </w:t>
            </w:r>
            <w:r w:rsidRPr="001A61E2">
              <w:rPr>
                <w:rFonts w:eastAsia="Times New Roman"/>
                <w:i/>
                <w:lang w:eastAsia="en-GB"/>
              </w:rPr>
              <w:t>pour assurer une meilleure gestion de l’eau</w:t>
            </w:r>
            <w:r w:rsidR="001A61E2">
              <w:rPr>
                <w:rFonts w:eastAsia="Times New Roman"/>
                <w:i/>
                <w:lang w:eastAsia="en-GB"/>
              </w:rPr>
              <w:t xml:space="preserve"> ;  </w:t>
            </w:r>
          </w:p>
          <w:p w:rsidR="003F5EFD" w:rsidRPr="001A61E2" w:rsidRDefault="001A61E2" w:rsidP="009350EC">
            <w:pPr>
              <w:pStyle w:val="ListParagraph"/>
              <w:numPr>
                <w:ilvl w:val="0"/>
                <w:numId w:val="9"/>
              </w:numPr>
              <w:spacing w:after="0" w:line="240" w:lineRule="auto"/>
              <w:ind w:left="161" w:hanging="251"/>
              <w:jc w:val="both"/>
              <w:rPr>
                <w:rFonts w:eastAsia="Times New Roman"/>
                <w:i/>
                <w:lang w:eastAsia="en-GB"/>
              </w:rPr>
            </w:pPr>
            <w:r w:rsidRPr="001A61E2">
              <w:rPr>
                <w:rFonts w:eastAsia="Times New Roman"/>
                <w:i/>
                <w:lang w:eastAsia="en-GB"/>
              </w:rPr>
              <w:t>Opérationnalis</w:t>
            </w:r>
            <w:r>
              <w:rPr>
                <w:rFonts w:eastAsia="Times New Roman"/>
                <w:i/>
                <w:lang w:eastAsia="en-GB"/>
              </w:rPr>
              <w:t>ation de</w:t>
            </w:r>
            <w:r w:rsidRPr="001A61E2">
              <w:rPr>
                <w:rFonts w:eastAsia="Times New Roman"/>
                <w:i/>
                <w:lang w:eastAsia="en-GB"/>
              </w:rPr>
              <w:t xml:space="preserve"> </w:t>
            </w:r>
            <w:r w:rsidR="003F5EFD" w:rsidRPr="001A61E2">
              <w:rPr>
                <w:rFonts w:eastAsia="Times New Roman"/>
                <w:i/>
                <w:lang w:eastAsia="en-GB"/>
              </w:rPr>
              <w:t xml:space="preserve">l’ensemble des volets de la contribution </w:t>
            </w:r>
            <w:r>
              <w:rPr>
                <w:rFonts w:eastAsia="Times New Roman"/>
                <w:i/>
                <w:lang w:eastAsia="en-GB"/>
              </w:rPr>
              <w:t xml:space="preserve">financière en matière d’eau </w:t>
            </w:r>
            <w:r w:rsidRPr="001A61E2">
              <w:rPr>
                <w:rFonts w:eastAsia="Times New Roman"/>
                <w:i/>
                <w:lang w:eastAsia="en-GB"/>
              </w:rPr>
              <w:t>pour un financement efficace, autonome et endogène du sous-secteur de l’eau</w:t>
            </w:r>
            <w:r>
              <w:rPr>
                <w:rFonts w:eastAsia="Times New Roman"/>
                <w:i/>
                <w:lang w:eastAsia="en-GB"/>
              </w:rPr>
              <w:t xml:space="preserve"> ; </w:t>
            </w:r>
          </w:p>
          <w:p w:rsidR="00564FD6" w:rsidRPr="001A61E2" w:rsidRDefault="001A61E2" w:rsidP="009350EC">
            <w:pPr>
              <w:pStyle w:val="ListParagraph"/>
              <w:numPr>
                <w:ilvl w:val="0"/>
                <w:numId w:val="9"/>
              </w:numPr>
              <w:spacing w:after="0" w:line="240" w:lineRule="auto"/>
              <w:ind w:left="161" w:hanging="251"/>
              <w:jc w:val="both"/>
              <w:rPr>
                <w:rFonts w:eastAsia="Times New Roman"/>
                <w:i/>
                <w:lang w:eastAsia="en-GB"/>
              </w:rPr>
            </w:pPr>
            <w:r>
              <w:rPr>
                <w:rFonts w:eastAsia="Times New Roman"/>
                <w:i/>
                <w:lang w:eastAsia="en-GB"/>
              </w:rPr>
              <w:t>Poursuite</w:t>
            </w:r>
            <w:r w:rsidR="00564FD6" w:rsidRPr="001A61E2">
              <w:rPr>
                <w:rFonts w:eastAsia="Times New Roman"/>
                <w:i/>
                <w:lang w:eastAsia="en-GB"/>
              </w:rPr>
              <w:t xml:space="preserve"> et accélér</w:t>
            </w:r>
            <w:r>
              <w:rPr>
                <w:rFonts w:eastAsia="Times New Roman"/>
                <w:i/>
                <w:lang w:eastAsia="en-GB"/>
              </w:rPr>
              <w:t xml:space="preserve">ation des </w:t>
            </w:r>
            <w:r w:rsidRPr="001A61E2">
              <w:rPr>
                <w:rFonts w:eastAsia="Times New Roman"/>
                <w:i/>
                <w:lang w:eastAsia="en-GB"/>
              </w:rPr>
              <w:t xml:space="preserve">efforts entrepris ces dernières années </w:t>
            </w:r>
            <w:r>
              <w:rPr>
                <w:rFonts w:eastAsia="Times New Roman"/>
                <w:i/>
                <w:lang w:eastAsia="en-GB"/>
              </w:rPr>
              <w:t>a</w:t>
            </w:r>
            <w:r w:rsidR="00564FD6" w:rsidRPr="001A61E2">
              <w:rPr>
                <w:rFonts w:eastAsia="Times New Roman"/>
                <w:i/>
                <w:lang w:eastAsia="en-GB"/>
              </w:rPr>
              <w:t xml:space="preserve">fin de contribuer significativement à de meilleures conditions de vie dans les </w:t>
            </w:r>
            <w:r w:rsidR="00564FD6" w:rsidRPr="001A61E2">
              <w:rPr>
                <w:rFonts w:eastAsia="Times New Roman"/>
                <w:i/>
                <w:lang w:eastAsia="en-GB"/>
              </w:rPr>
              <w:lastRenderedPageBreak/>
              <w:t>campagnes comme dans les villes</w:t>
            </w:r>
            <w:r w:rsidRPr="001A61E2">
              <w:rPr>
                <w:rFonts w:eastAsia="Times New Roman"/>
                <w:i/>
                <w:lang w:eastAsia="en-GB"/>
              </w:rPr>
              <w:t xml:space="preserve"> </w:t>
            </w:r>
            <w:r>
              <w:rPr>
                <w:rFonts w:eastAsia="Times New Roman"/>
                <w:i/>
                <w:lang w:eastAsia="en-GB"/>
              </w:rPr>
              <w:t>et décupler leur productivité</w:t>
            </w:r>
            <w:r w:rsidR="00564FD6" w:rsidRPr="001A61E2">
              <w:rPr>
                <w:rFonts w:eastAsia="Times New Roman"/>
                <w:i/>
                <w:lang w:eastAsia="en-GB"/>
              </w:rPr>
              <w:t>.</w:t>
            </w:r>
          </w:p>
          <w:p w:rsidR="00564FD6" w:rsidRPr="001A61E2" w:rsidRDefault="00564FD6" w:rsidP="0021517F">
            <w:pPr>
              <w:spacing w:after="0" w:line="240" w:lineRule="auto"/>
              <w:jc w:val="both"/>
              <w:rPr>
                <w:rFonts w:eastAsia="Times New Roman" w:cstheme="minorHAnsi"/>
                <w:i/>
                <w:lang w:eastAsia="en-GB"/>
              </w:rPr>
            </w:pPr>
          </w:p>
        </w:tc>
        <w:tc>
          <w:tcPr>
            <w:tcW w:w="3420" w:type="dxa"/>
            <w:shd w:val="clear" w:color="auto" w:fill="auto"/>
          </w:tcPr>
          <w:p w:rsidR="00D001A1" w:rsidRDefault="00D001A1" w:rsidP="00D001A1">
            <w:pPr>
              <w:pStyle w:val="Default"/>
              <w:rPr>
                <w:rFonts w:asciiTheme="minorHAnsi" w:hAnsiTheme="minorHAnsi" w:cstheme="minorHAnsi"/>
                <w:i/>
                <w:sz w:val="22"/>
                <w:szCs w:val="22"/>
                <w:lang w:val="fr-FR"/>
              </w:rPr>
            </w:pPr>
            <w:r>
              <w:rPr>
                <w:rFonts w:asciiTheme="minorHAnsi" w:hAnsiTheme="minorHAnsi" w:cstheme="minorHAnsi"/>
                <w:i/>
                <w:sz w:val="22"/>
                <w:szCs w:val="22"/>
                <w:lang w:val="fr-FR"/>
              </w:rPr>
              <w:lastRenderedPageBreak/>
              <w:t xml:space="preserve">Le coût estimatif pour le volet eau et assainissement n’est pas spécifié. </w:t>
            </w:r>
          </w:p>
          <w:p w:rsidR="00D001A1" w:rsidRDefault="00D001A1" w:rsidP="009350EC">
            <w:pPr>
              <w:spacing w:after="0" w:line="240" w:lineRule="auto"/>
              <w:jc w:val="both"/>
              <w:rPr>
                <w:rStyle w:val="A6"/>
                <w:rFonts w:cstheme="minorHAnsi"/>
                <w:i/>
                <w:sz w:val="22"/>
                <w:szCs w:val="22"/>
              </w:rPr>
            </w:pPr>
          </w:p>
          <w:p w:rsidR="009350EC" w:rsidRDefault="00FE0A75" w:rsidP="009350EC">
            <w:pPr>
              <w:spacing w:after="0" w:line="240" w:lineRule="auto"/>
              <w:jc w:val="both"/>
              <w:rPr>
                <w:rStyle w:val="A6"/>
                <w:rFonts w:cstheme="minorHAnsi"/>
                <w:i/>
                <w:sz w:val="22"/>
                <w:szCs w:val="22"/>
              </w:rPr>
            </w:pPr>
            <w:r>
              <w:rPr>
                <w:rStyle w:val="A6"/>
                <w:rFonts w:cstheme="minorHAnsi"/>
                <w:i/>
                <w:sz w:val="22"/>
                <w:szCs w:val="22"/>
              </w:rPr>
              <w:t xml:space="preserve">Le candidat indique </w:t>
            </w:r>
            <w:r w:rsidR="00B65F05">
              <w:rPr>
                <w:rStyle w:val="A6"/>
                <w:rFonts w:cstheme="minorHAnsi"/>
                <w:i/>
                <w:sz w:val="22"/>
                <w:szCs w:val="22"/>
              </w:rPr>
              <w:t xml:space="preserve">cependant </w:t>
            </w:r>
            <w:r>
              <w:rPr>
                <w:rStyle w:val="A6"/>
                <w:rFonts w:cstheme="minorHAnsi"/>
                <w:i/>
                <w:sz w:val="22"/>
                <w:szCs w:val="22"/>
              </w:rPr>
              <w:t xml:space="preserve">que </w:t>
            </w:r>
            <w:r w:rsidR="009350EC" w:rsidRPr="00A35021">
              <w:rPr>
                <w:rStyle w:val="A6"/>
                <w:rFonts w:cstheme="minorHAnsi"/>
                <w:i/>
                <w:sz w:val="22"/>
                <w:szCs w:val="22"/>
              </w:rPr>
              <w:t>pour un financement efficace, autonome et endogène du sous-secteur de l’eau, l’ensemble des volets de la contribution financière en matière d’eau sera opérationnalisé.</w:t>
            </w:r>
          </w:p>
          <w:p w:rsidR="009350EC" w:rsidRDefault="009350EC" w:rsidP="009350EC">
            <w:pPr>
              <w:spacing w:after="0" w:line="240" w:lineRule="auto"/>
              <w:jc w:val="both"/>
              <w:rPr>
                <w:rStyle w:val="A6"/>
                <w:rFonts w:cstheme="minorHAnsi"/>
                <w:i/>
                <w:sz w:val="22"/>
                <w:szCs w:val="22"/>
              </w:rPr>
            </w:pPr>
            <w:r>
              <w:rPr>
                <w:rStyle w:val="A6"/>
                <w:rFonts w:cstheme="minorHAnsi"/>
                <w:i/>
                <w:sz w:val="22"/>
                <w:szCs w:val="22"/>
              </w:rPr>
              <w:t xml:space="preserve"> </w:t>
            </w:r>
          </w:p>
          <w:p w:rsidR="003F5EFD" w:rsidRPr="004B194F" w:rsidRDefault="003F5EFD" w:rsidP="00FE0A75">
            <w:pPr>
              <w:pStyle w:val="Default"/>
              <w:rPr>
                <w:rFonts w:eastAsia="Times New Roman" w:cstheme="minorHAnsi"/>
                <w:b/>
                <w:i/>
                <w:lang w:val="fr-FR" w:eastAsia="en-GB"/>
              </w:rPr>
            </w:pPr>
          </w:p>
        </w:tc>
      </w:tr>
    </w:tbl>
    <w:p w:rsidR="005A1F94" w:rsidRPr="00A35021" w:rsidRDefault="005A1F94" w:rsidP="007C5844">
      <w:pPr>
        <w:spacing w:line="240" w:lineRule="auto"/>
        <w:rPr>
          <w:rFonts w:cstheme="minorHAnsi"/>
          <w:i/>
        </w:rPr>
      </w:pPr>
    </w:p>
    <w:tbl>
      <w:tblPr>
        <w:tblStyle w:val="TableGrid"/>
        <w:tblW w:w="14230" w:type="dxa"/>
        <w:tblInd w:w="-455" w:type="dxa"/>
        <w:tblLook w:val="04A0" w:firstRow="1" w:lastRow="0" w:firstColumn="1" w:lastColumn="0" w:noHBand="0" w:noVBand="1"/>
      </w:tblPr>
      <w:tblGrid>
        <w:gridCol w:w="2340"/>
        <w:gridCol w:w="4680"/>
        <w:gridCol w:w="1980"/>
        <w:gridCol w:w="5230"/>
      </w:tblGrid>
      <w:tr w:rsidR="00E06845" w:rsidRPr="00A35021" w:rsidTr="006957DF">
        <w:tc>
          <w:tcPr>
            <w:tcW w:w="14230" w:type="dxa"/>
            <w:gridSpan w:val="4"/>
          </w:tcPr>
          <w:p w:rsidR="003F5EFD" w:rsidRPr="00A35021" w:rsidRDefault="006957DF" w:rsidP="00241B34">
            <w:pPr>
              <w:shd w:val="clear" w:color="auto" w:fill="00B0F0"/>
              <w:spacing w:after="0" w:line="240" w:lineRule="auto"/>
              <w:rPr>
                <w:rFonts w:cstheme="minorHAnsi"/>
                <w:i/>
                <w:color w:val="FFFFFF" w:themeColor="background1"/>
              </w:rPr>
            </w:pPr>
            <w:proofErr w:type="spellStart"/>
            <w:r>
              <w:rPr>
                <w:rFonts w:eastAsia="Times New Roman" w:cstheme="minorHAnsi"/>
                <w:b/>
                <w:i/>
                <w:color w:val="FFFFFF" w:themeColor="background1"/>
                <w:lang w:eastAsia="en-GB"/>
              </w:rPr>
              <w:t>W</w:t>
            </w:r>
            <w:r w:rsidR="003F5EFD" w:rsidRPr="00A35021">
              <w:rPr>
                <w:rFonts w:eastAsia="Times New Roman" w:cstheme="minorHAnsi"/>
                <w:b/>
                <w:i/>
                <w:color w:val="FFFFFF" w:themeColor="background1"/>
                <w:lang w:eastAsia="en-GB"/>
              </w:rPr>
              <w:t>end-Venem</w:t>
            </w:r>
            <w:proofErr w:type="spellEnd"/>
            <w:r w:rsidR="003F5EFD" w:rsidRPr="00A35021">
              <w:rPr>
                <w:rFonts w:eastAsia="Times New Roman" w:cstheme="minorHAnsi"/>
                <w:b/>
                <w:i/>
                <w:color w:val="FFFFFF" w:themeColor="background1"/>
                <w:lang w:eastAsia="en-GB"/>
              </w:rPr>
              <w:t xml:space="preserve"> Eddie Constance Hyacinthe KOMBOIGO, candidat du Congrès pour la Démocratie et le Progrès (CDP)</w:t>
            </w:r>
            <w:r w:rsidR="003F5EFD" w:rsidRPr="00A35021">
              <w:rPr>
                <w:rFonts w:cstheme="minorHAnsi"/>
                <w:i/>
                <w:color w:val="FFFFFF" w:themeColor="background1"/>
              </w:rPr>
              <w:t xml:space="preserve"> </w:t>
            </w:r>
          </w:p>
          <w:p w:rsidR="00C423C1" w:rsidRPr="00A35021" w:rsidRDefault="0048365E" w:rsidP="00241B34">
            <w:pPr>
              <w:spacing w:after="0" w:line="240" w:lineRule="auto"/>
              <w:jc w:val="both"/>
              <w:rPr>
                <w:rFonts w:cstheme="minorHAnsi"/>
                <w:i/>
              </w:rPr>
            </w:pPr>
            <w:r>
              <w:rPr>
                <w:rFonts w:cstheme="minorHAnsi"/>
                <w:i/>
              </w:rPr>
              <w:t xml:space="preserve"> </w:t>
            </w:r>
          </w:p>
        </w:tc>
      </w:tr>
      <w:tr w:rsidR="003F5EFD" w:rsidRPr="00A35021" w:rsidTr="006957DF">
        <w:tblPrEx>
          <w:jc w:val="center"/>
          <w:tblInd w:w="0" w:type="dxa"/>
        </w:tblPrEx>
        <w:trPr>
          <w:jc w:val="center"/>
        </w:trPr>
        <w:tc>
          <w:tcPr>
            <w:tcW w:w="234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Existence d’une vision</w:t>
            </w:r>
            <w:r w:rsidR="00D2465D" w:rsidRPr="00A35021">
              <w:rPr>
                <w:rFonts w:eastAsia="Times New Roman" w:cstheme="minorHAnsi"/>
                <w:b/>
                <w:i/>
                <w:color w:val="FFFFFF" w:themeColor="background1"/>
                <w:lang w:eastAsia="en-GB"/>
              </w:rPr>
              <w:t xml:space="preserve"> / </w:t>
            </w:r>
            <w:r w:rsidRPr="00A35021">
              <w:rPr>
                <w:rFonts w:eastAsia="Times New Roman" w:cstheme="minorHAnsi"/>
                <w:b/>
                <w:i/>
                <w:color w:val="FFFFFF" w:themeColor="background1"/>
                <w:lang w:eastAsia="en-GB"/>
              </w:rPr>
              <w:t xml:space="preserve">orientation stratégique </w:t>
            </w:r>
          </w:p>
        </w:tc>
        <w:tc>
          <w:tcPr>
            <w:tcW w:w="468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198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5230" w:type="dxa"/>
            <w:shd w:val="clear" w:color="auto" w:fill="00B0F0"/>
          </w:tcPr>
          <w:p w:rsidR="003F5EFD" w:rsidRPr="00A35021" w:rsidRDefault="003F5EF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3F5EFD" w:rsidRPr="00A35021" w:rsidTr="006957DF">
        <w:tblPrEx>
          <w:jc w:val="center"/>
          <w:tblInd w:w="0" w:type="dxa"/>
        </w:tblPrEx>
        <w:trPr>
          <w:jc w:val="center"/>
        </w:trPr>
        <w:tc>
          <w:tcPr>
            <w:tcW w:w="2340" w:type="dxa"/>
            <w:shd w:val="clear" w:color="auto" w:fill="FFFFFF" w:themeFill="background1"/>
          </w:tcPr>
          <w:p w:rsidR="003F5EFD" w:rsidRPr="00A35021" w:rsidRDefault="003F5EFD" w:rsidP="0021517F">
            <w:pPr>
              <w:spacing w:after="0" w:line="240" w:lineRule="auto"/>
              <w:jc w:val="both"/>
              <w:rPr>
                <w:rFonts w:eastAsia="Times New Roman" w:cstheme="minorHAnsi"/>
                <w:b/>
                <w:i/>
                <w:lang w:eastAsia="en-GB"/>
              </w:rPr>
            </w:pPr>
            <w:r w:rsidRPr="00A35021">
              <w:rPr>
                <w:rFonts w:eastAsia="Times New Roman" w:cstheme="minorHAnsi"/>
                <w:b/>
                <w:i/>
                <w:lang w:eastAsia="en-GB"/>
              </w:rPr>
              <w:t>L’ambition du candidat est de poursuivre en les améliorant les grandes réformes sectorielles entreprises jusque-là par le Burkina Faso pour faciliter l’accès des populations aux services d’eau potable et d’assainissement</w:t>
            </w:r>
          </w:p>
        </w:tc>
        <w:tc>
          <w:tcPr>
            <w:tcW w:w="4680" w:type="dxa"/>
            <w:shd w:val="clear" w:color="auto" w:fill="FFFFFF" w:themeFill="background1"/>
          </w:tcPr>
          <w:p w:rsidR="003F5EFD" w:rsidRPr="00A35021" w:rsidRDefault="006E5B6F" w:rsidP="0021517F">
            <w:pPr>
              <w:spacing w:after="0" w:line="240" w:lineRule="auto"/>
              <w:jc w:val="both"/>
              <w:rPr>
                <w:rFonts w:eastAsia="Times New Roman" w:cstheme="minorHAnsi"/>
                <w:b/>
                <w:i/>
                <w:color w:val="000000" w:themeColor="text1"/>
                <w:u w:val="single"/>
                <w:lang w:eastAsia="en-GB"/>
              </w:rPr>
            </w:pPr>
            <w:r>
              <w:rPr>
                <w:rFonts w:eastAsia="Times New Roman" w:cstheme="minorHAnsi"/>
                <w:b/>
                <w:i/>
                <w:color w:val="000000" w:themeColor="text1"/>
                <w:u w:val="single"/>
                <w:lang w:eastAsia="en-GB"/>
              </w:rPr>
              <w:t>Accès à l’eau potable</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Développer les infrastructures hydrauliques de qualité et résilientes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Augmenter durablement et équitablement l’accès à l’eau potable en milieu rural, en milieux urbain et périurbains conformément aux objectifs de développement durable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Préserver durablement la qualité des ressources en eau pour les divers usages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 xml:space="preserve">Renforcer le partenariat entre l’Etat et les autres acteurs publics et privés dans le cadre de la mise </w:t>
            </w:r>
            <w:r w:rsidRPr="00A35021">
              <w:rPr>
                <w:rFonts w:eastAsia="Times New Roman" w:cstheme="minorHAnsi"/>
                <w:i/>
                <w:lang w:eastAsia="en-GB"/>
              </w:rPr>
              <w:lastRenderedPageBreak/>
              <w:t>en œuvre de la Gestion Intégrée de la Ressource en Eau (GIRE)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Opérationnaliser les agences de l’eau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Mettre en place et promouvoir au niveau national un système d’information et de monitoring sur l’eau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Suivre et appuyer le développement de la coopération régionale et internationale dans le domaine de l’eau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 xml:space="preserve">Créer un environnement juridique, économique, financier et fiscal favorable à la promotion et au développement durable des usages de l’eau et </w:t>
            </w:r>
            <w:r w:rsidR="00301515">
              <w:rPr>
                <w:rFonts w:eastAsia="Times New Roman" w:cstheme="minorHAnsi"/>
                <w:i/>
                <w:lang w:eastAsia="en-GB"/>
              </w:rPr>
              <w:t xml:space="preserve">à sa protection. </w:t>
            </w:r>
          </w:p>
          <w:p w:rsidR="003F5EFD" w:rsidRPr="00A35021" w:rsidRDefault="003F5EFD" w:rsidP="0021517F">
            <w:pPr>
              <w:spacing w:after="0" w:line="240" w:lineRule="auto"/>
              <w:jc w:val="both"/>
              <w:rPr>
                <w:rFonts w:eastAsia="Times New Roman" w:cstheme="minorHAnsi"/>
                <w:b/>
                <w:i/>
                <w:lang w:eastAsia="en-GB"/>
              </w:rPr>
            </w:pPr>
          </w:p>
          <w:p w:rsidR="003F5EFD" w:rsidRDefault="006E5B6F" w:rsidP="0021517F">
            <w:pPr>
              <w:spacing w:after="0" w:line="240" w:lineRule="auto"/>
              <w:ind w:left="34"/>
              <w:jc w:val="both"/>
              <w:rPr>
                <w:rFonts w:eastAsia="Times New Roman" w:cstheme="minorHAnsi"/>
                <w:b/>
                <w:i/>
                <w:color w:val="000000" w:themeColor="text1"/>
                <w:u w:val="single"/>
                <w:lang w:eastAsia="en-GB"/>
              </w:rPr>
            </w:pPr>
            <w:r>
              <w:rPr>
                <w:rFonts w:eastAsia="Times New Roman" w:cstheme="minorHAnsi"/>
                <w:b/>
                <w:i/>
                <w:color w:val="000000" w:themeColor="text1"/>
                <w:u w:val="single"/>
                <w:lang w:eastAsia="en-GB"/>
              </w:rPr>
              <w:t>Accès à l’assainissement</w:t>
            </w:r>
          </w:p>
          <w:p w:rsidR="00DB5AF9" w:rsidRPr="00D75E6A" w:rsidRDefault="00DB5AF9" w:rsidP="0021517F">
            <w:pPr>
              <w:spacing w:after="0" w:line="240" w:lineRule="auto"/>
              <w:ind w:left="34"/>
              <w:jc w:val="both"/>
              <w:rPr>
                <w:rFonts w:eastAsia="Times New Roman" w:cstheme="minorHAnsi"/>
                <w:color w:val="000000" w:themeColor="text1"/>
                <w:lang w:eastAsia="en-GB"/>
              </w:rPr>
            </w:pPr>
          </w:p>
          <w:p w:rsidR="003F5EFD" w:rsidRPr="00A35021" w:rsidRDefault="002B3AF2" w:rsidP="002B3AF2">
            <w:pPr>
              <w:pStyle w:val="ListParagraph"/>
              <w:numPr>
                <w:ilvl w:val="0"/>
                <w:numId w:val="9"/>
              </w:numPr>
              <w:spacing w:after="0" w:line="240" w:lineRule="auto"/>
              <w:ind w:left="161" w:hanging="251"/>
              <w:jc w:val="both"/>
              <w:rPr>
                <w:rFonts w:eastAsia="Times New Roman" w:cstheme="minorHAnsi"/>
                <w:b/>
                <w:i/>
                <w:lang w:eastAsia="en-GB"/>
              </w:rPr>
            </w:pPr>
            <w:r>
              <w:rPr>
                <w:rFonts w:eastAsia="Times New Roman" w:cstheme="minorHAnsi"/>
                <w:i/>
                <w:lang w:eastAsia="en-GB"/>
              </w:rPr>
              <w:t>A</w:t>
            </w:r>
            <w:r w:rsidR="003F5EFD" w:rsidRPr="00A35021">
              <w:rPr>
                <w:rFonts w:eastAsia="Times New Roman" w:cstheme="minorHAnsi"/>
                <w:i/>
                <w:lang w:eastAsia="en-GB"/>
              </w:rPr>
              <w:t>ssurer durablement et équitablement l’assainissement des eaux usées et excréta en milieu rural et en milieu urbain.</w:t>
            </w:r>
            <w:r w:rsidR="003F5EFD" w:rsidRPr="00A35021">
              <w:rPr>
                <w:rFonts w:eastAsia="Times New Roman" w:cstheme="minorHAnsi"/>
                <w:b/>
                <w:i/>
                <w:lang w:eastAsia="en-GB"/>
              </w:rPr>
              <w:t xml:space="preserve">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Promouvoir les bonnes pratiques d’hygiène en milieux rural et urbain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Assurer un accès universel et continu des populations aux services d’assainissement en milieux rural et urbain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Optimiser la gestion des eaux usées et des boues de vidange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Améliorer les connaissances dans le domaine de l’assainissement des eaux usées et excréta ;</w:t>
            </w:r>
          </w:p>
          <w:p w:rsidR="003F5EFD" w:rsidRPr="00A35021" w:rsidRDefault="003F5EFD" w:rsidP="0021517F">
            <w:pPr>
              <w:pStyle w:val="ListParagraph"/>
              <w:numPr>
                <w:ilvl w:val="0"/>
                <w:numId w:val="9"/>
              </w:numPr>
              <w:spacing w:after="0" w:line="240" w:lineRule="auto"/>
              <w:ind w:left="161" w:hanging="251"/>
              <w:jc w:val="both"/>
              <w:rPr>
                <w:rFonts w:eastAsia="Times New Roman" w:cstheme="minorHAnsi"/>
                <w:b/>
                <w:i/>
                <w:lang w:eastAsia="en-GB"/>
              </w:rPr>
            </w:pPr>
            <w:r w:rsidRPr="00A35021">
              <w:rPr>
                <w:rFonts w:eastAsia="Times New Roman" w:cstheme="minorHAnsi"/>
                <w:i/>
                <w:lang w:eastAsia="en-GB"/>
              </w:rPr>
              <w:t>Renforcer les capacités de financement, de gestion et de pilotage du sous-secteur.</w:t>
            </w:r>
          </w:p>
        </w:tc>
        <w:tc>
          <w:tcPr>
            <w:tcW w:w="1980" w:type="dxa"/>
            <w:shd w:val="clear" w:color="auto" w:fill="FFFFFF" w:themeFill="background1"/>
          </w:tcPr>
          <w:p w:rsidR="003F5EFD" w:rsidRPr="00B20DF0" w:rsidRDefault="003F5EFD" w:rsidP="0021517F">
            <w:pPr>
              <w:spacing w:after="0" w:line="240" w:lineRule="auto"/>
              <w:jc w:val="both"/>
              <w:rPr>
                <w:rFonts w:eastAsia="Times New Roman" w:cstheme="minorHAnsi"/>
                <w:i/>
                <w:lang w:eastAsia="en-GB"/>
              </w:rPr>
            </w:pPr>
            <w:r w:rsidRPr="00B20DF0">
              <w:rPr>
                <w:rFonts w:eastAsia="Times New Roman" w:cstheme="minorHAnsi"/>
                <w:i/>
                <w:lang w:eastAsia="en-GB"/>
              </w:rPr>
              <w:lastRenderedPageBreak/>
              <w:t xml:space="preserve">Deux actions sont identifiées pour la sauvegarde indispensable du patrimoine eau à savoir </w:t>
            </w:r>
            <w:r w:rsidRPr="0026353B">
              <w:rPr>
                <w:rFonts w:eastAsia="Times New Roman" w:cstheme="minorHAnsi"/>
                <w:b/>
                <w:i/>
                <w:lang w:eastAsia="en-GB"/>
              </w:rPr>
              <w:t>(i)</w:t>
            </w:r>
            <w:r w:rsidRPr="00B20DF0">
              <w:rPr>
                <w:rFonts w:eastAsia="Times New Roman" w:cstheme="minorHAnsi"/>
                <w:i/>
                <w:lang w:eastAsia="en-GB"/>
              </w:rPr>
              <w:t xml:space="preserve"> la préservation de cette ressource naturelle (actions préventives) et </w:t>
            </w:r>
            <w:r w:rsidRPr="0026353B">
              <w:rPr>
                <w:rFonts w:eastAsia="Times New Roman" w:cstheme="minorHAnsi"/>
                <w:b/>
                <w:i/>
                <w:lang w:eastAsia="en-GB"/>
              </w:rPr>
              <w:t>(ii)</w:t>
            </w:r>
            <w:r w:rsidRPr="00B20DF0">
              <w:rPr>
                <w:rFonts w:eastAsia="Times New Roman" w:cstheme="minorHAnsi"/>
                <w:i/>
                <w:lang w:eastAsia="en-GB"/>
              </w:rPr>
              <w:t xml:space="preserve"> la réduction de sa </w:t>
            </w:r>
            <w:r w:rsidRPr="00B20DF0">
              <w:rPr>
                <w:rFonts w:eastAsia="Times New Roman" w:cstheme="minorHAnsi"/>
                <w:i/>
                <w:lang w:eastAsia="en-GB"/>
              </w:rPr>
              <w:lastRenderedPageBreak/>
              <w:t>pollution (actions correctives).</w:t>
            </w:r>
          </w:p>
        </w:tc>
        <w:tc>
          <w:tcPr>
            <w:tcW w:w="5230" w:type="dxa"/>
            <w:shd w:val="clear" w:color="auto" w:fill="FFFFFF" w:themeFill="background1"/>
          </w:tcPr>
          <w:p w:rsidR="00712C42" w:rsidRPr="00164F30" w:rsidRDefault="00164F30" w:rsidP="00164F30">
            <w:pPr>
              <w:pStyle w:val="Default"/>
              <w:rPr>
                <w:rFonts w:cstheme="minorHAnsi"/>
                <w:i/>
                <w:lang w:val="fr-FR"/>
              </w:rPr>
            </w:pPr>
            <w:r>
              <w:rPr>
                <w:rFonts w:asciiTheme="minorHAnsi" w:hAnsiTheme="minorHAnsi" w:cstheme="minorHAnsi"/>
                <w:i/>
                <w:sz w:val="22"/>
                <w:szCs w:val="22"/>
                <w:lang w:val="fr-FR"/>
              </w:rPr>
              <w:lastRenderedPageBreak/>
              <w:t>Le coût estimatif pour le volet eau et ass</w:t>
            </w:r>
            <w:r>
              <w:rPr>
                <w:rFonts w:asciiTheme="minorHAnsi" w:hAnsiTheme="minorHAnsi" w:cstheme="minorHAnsi"/>
                <w:i/>
                <w:sz w:val="22"/>
                <w:szCs w:val="22"/>
                <w:lang w:val="fr-FR"/>
              </w:rPr>
              <w:t xml:space="preserve">ainissement n’est pas spécifié </w:t>
            </w:r>
            <w:r w:rsidR="00712C42" w:rsidRPr="00164F30">
              <w:rPr>
                <w:rFonts w:cstheme="minorHAnsi"/>
                <w:i/>
                <w:lang w:val="fr-FR"/>
              </w:rPr>
              <w:t xml:space="preserve">mais </w:t>
            </w:r>
            <w:r w:rsidR="006957DF" w:rsidRPr="00164F30">
              <w:rPr>
                <w:rFonts w:cstheme="minorHAnsi"/>
                <w:i/>
                <w:lang w:val="fr-FR"/>
              </w:rPr>
              <w:t>des stratégies sont déclinées :</w:t>
            </w:r>
          </w:p>
          <w:p w:rsidR="006957DF" w:rsidRDefault="006957DF" w:rsidP="00712C42">
            <w:pPr>
              <w:spacing w:after="0" w:line="240" w:lineRule="auto"/>
              <w:jc w:val="both"/>
              <w:rPr>
                <w:rFonts w:cstheme="minorHAnsi"/>
                <w:i/>
              </w:rPr>
            </w:pPr>
          </w:p>
          <w:p w:rsidR="003F5EFD" w:rsidRPr="00712C42" w:rsidRDefault="00712C42" w:rsidP="00712C42">
            <w:pPr>
              <w:pStyle w:val="ListParagraph"/>
              <w:numPr>
                <w:ilvl w:val="0"/>
                <w:numId w:val="9"/>
              </w:numPr>
              <w:spacing w:after="0" w:line="240" w:lineRule="auto"/>
              <w:ind w:left="161" w:hanging="251"/>
              <w:jc w:val="both"/>
              <w:rPr>
                <w:rFonts w:cstheme="minorHAnsi"/>
                <w:i/>
              </w:rPr>
            </w:pPr>
            <w:r w:rsidRPr="00712C42">
              <w:rPr>
                <w:rFonts w:cstheme="minorHAnsi"/>
                <w:i/>
              </w:rPr>
              <w:t>Maitrise</w:t>
            </w:r>
            <w:r w:rsidR="003F5EFD" w:rsidRPr="00712C42">
              <w:rPr>
                <w:rFonts w:cstheme="minorHAnsi"/>
                <w:i/>
              </w:rPr>
              <w:t xml:space="preserve"> du service de la dette publique assise sur les capacités</w:t>
            </w:r>
            <w:r>
              <w:rPr>
                <w:rFonts w:cstheme="minorHAnsi"/>
                <w:i/>
              </w:rPr>
              <w:t xml:space="preserve"> productrices de notre économie ; </w:t>
            </w:r>
          </w:p>
          <w:p w:rsidR="003F5EFD" w:rsidRPr="002B3AF2" w:rsidRDefault="00712C42" w:rsidP="002B3AF2">
            <w:pPr>
              <w:pStyle w:val="ListParagraph"/>
              <w:numPr>
                <w:ilvl w:val="0"/>
                <w:numId w:val="9"/>
              </w:numPr>
              <w:spacing w:after="0" w:line="240" w:lineRule="auto"/>
              <w:ind w:left="161" w:hanging="251"/>
              <w:jc w:val="both"/>
              <w:rPr>
                <w:rFonts w:cstheme="minorHAnsi"/>
                <w:i/>
              </w:rPr>
            </w:pPr>
            <w:r>
              <w:rPr>
                <w:rFonts w:cstheme="minorHAnsi"/>
                <w:i/>
              </w:rPr>
              <w:t xml:space="preserve">Réduction du train de vie de l’État ; </w:t>
            </w:r>
          </w:p>
          <w:p w:rsidR="003F5EFD" w:rsidRPr="002B3AF2" w:rsidRDefault="00712C42" w:rsidP="002B3AF2">
            <w:pPr>
              <w:pStyle w:val="ListParagraph"/>
              <w:numPr>
                <w:ilvl w:val="0"/>
                <w:numId w:val="9"/>
              </w:numPr>
              <w:spacing w:after="0" w:line="240" w:lineRule="auto"/>
              <w:ind w:left="161" w:hanging="251"/>
              <w:jc w:val="both"/>
              <w:rPr>
                <w:rFonts w:cstheme="minorHAnsi"/>
                <w:i/>
              </w:rPr>
            </w:pPr>
            <w:r>
              <w:rPr>
                <w:rFonts w:cstheme="minorHAnsi"/>
                <w:i/>
              </w:rPr>
              <w:t>Lancement d’</w:t>
            </w:r>
            <w:r w:rsidR="003F5EFD" w:rsidRPr="002B3AF2">
              <w:rPr>
                <w:rFonts w:cstheme="minorHAnsi"/>
                <w:i/>
              </w:rPr>
              <w:t>une grande campagne de recouvrement des dus de l’État en souffrance notamment les chèques sans provisions</w:t>
            </w:r>
            <w:r w:rsidR="003F5EFD" w:rsidRPr="00A35021">
              <w:rPr>
                <w:rFonts w:eastAsia="Times New Roman" w:cstheme="minorHAnsi"/>
                <w:i/>
                <w:lang w:eastAsia="en-GB"/>
              </w:rPr>
              <w:t xml:space="preserve"> </w:t>
            </w:r>
            <w:r w:rsidR="003F5EFD" w:rsidRPr="002B3AF2">
              <w:rPr>
                <w:rFonts w:cstheme="minorHAnsi"/>
                <w:i/>
              </w:rPr>
              <w:t>détenus par l</w:t>
            </w:r>
            <w:r>
              <w:rPr>
                <w:rFonts w:cstheme="minorHAnsi"/>
                <w:i/>
              </w:rPr>
              <w:t xml:space="preserve">es services de régies publiques ; </w:t>
            </w:r>
          </w:p>
          <w:p w:rsidR="003F5EFD" w:rsidRPr="002B3AF2" w:rsidRDefault="00565C87" w:rsidP="002B3AF2">
            <w:pPr>
              <w:pStyle w:val="ListParagraph"/>
              <w:numPr>
                <w:ilvl w:val="0"/>
                <w:numId w:val="9"/>
              </w:numPr>
              <w:spacing w:after="0" w:line="240" w:lineRule="auto"/>
              <w:ind w:left="161" w:hanging="251"/>
              <w:jc w:val="both"/>
              <w:rPr>
                <w:rFonts w:cstheme="minorHAnsi"/>
                <w:i/>
              </w:rPr>
            </w:pPr>
            <w:r>
              <w:rPr>
                <w:rFonts w:cstheme="minorHAnsi"/>
                <w:i/>
              </w:rPr>
              <w:lastRenderedPageBreak/>
              <w:t xml:space="preserve">Renforcement </w:t>
            </w:r>
            <w:r w:rsidR="000F21E0">
              <w:rPr>
                <w:rFonts w:cstheme="minorHAnsi"/>
                <w:i/>
              </w:rPr>
              <w:t xml:space="preserve">et intensification </w:t>
            </w:r>
            <w:r>
              <w:rPr>
                <w:rFonts w:cstheme="minorHAnsi"/>
                <w:i/>
              </w:rPr>
              <w:t xml:space="preserve">de </w:t>
            </w:r>
            <w:r w:rsidR="003F5EFD" w:rsidRPr="002B3AF2">
              <w:rPr>
                <w:rFonts w:cstheme="minorHAnsi"/>
                <w:i/>
              </w:rPr>
              <w:t>la lutte contre la fraude et l’évasion fiscales par la mise en place des outils digitalisés</w:t>
            </w:r>
            <w:r w:rsidR="000F21E0">
              <w:rPr>
                <w:rFonts w:cstheme="minorHAnsi"/>
                <w:i/>
              </w:rPr>
              <w:t xml:space="preserve"> ; </w:t>
            </w:r>
          </w:p>
          <w:p w:rsidR="003F5EFD" w:rsidRPr="002B3AF2" w:rsidRDefault="002B3AF2" w:rsidP="002B3AF2">
            <w:pPr>
              <w:pStyle w:val="ListParagraph"/>
              <w:numPr>
                <w:ilvl w:val="0"/>
                <w:numId w:val="9"/>
              </w:numPr>
              <w:spacing w:after="0" w:line="240" w:lineRule="auto"/>
              <w:ind w:left="161" w:hanging="251"/>
              <w:jc w:val="both"/>
              <w:rPr>
                <w:rFonts w:cstheme="minorHAnsi"/>
                <w:i/>
              </w:rPr>
            </w:pPr>
            <w:r w:rsidRPr="002B3AF2">
              <w:rPr>
                <w:rFonts w:cstheme="minorHAnsi"/>
                <w:i/>
              </w:rPr>
              <w:t>Modernis</w:t>
            </w:r>
            <w:r w:rsidR="000F21E0">
              <w:rPr>
                <w:rFonts w:cstheme="minorHAnsi"/>
                <w:i/>
              </w:rPr>
              <w:t>ation d</w:t>
            </w:r>
            <w:r w:rsidR="003F5EFD" w:rsidRPr="002B3AF2">
              <w:rPr>
                <w:rFonts w:cstheme="minorHAnsi"/>
                <w:i/>
              </w:rPr>
              <w:t xml:space="preserve">es procédures fiscales par une plus grande et judicieuse exploitation des TIC, </w:t>
            </w:r>
          </w:p>
          <w:p w:rsidR="003F5EFD" w:rsidRPr="002B3AF2" w:rsidRDefault="002B3AF2" w:rsidP="002B3AF2">
            <w:pPr>
              <w:pStyle w:val="ListParagraph"/>
              <w:numPr>
                <w:ilvl w:val="0"/>
                <w:numId w:val="9"/>
              </w:numPr>
              <w:spacing w:after="0" w:line="240" w:lineRule="auto"/>
              <w:ind w:left="161" w:hanging="251"/>
              <w:jc w:val="both"/>
              <w:rPr>
                <w:rFonts w:cstheme="minorHAnsi"/>
                <w:i/>
              </w:rPr>
            </w:pPr>
            <w:r w:rsidRPr="002B3AF2">
              <w:rPr>
                <w:rFonts w:cstheme="minorHAnsi"/>
                <w:i/>
              </w:rPr>
              <w:t>Renforce</w:t>
            </w:r>
            <w:r w:rsidR="00F27D4D">
              <w:rPr>
                <w:rFonts w:cstheme="minorHAnsi"/>
                <w:i/>
              </w:rPr>
              <w:t>ment d</w:t>
            </w:r>
            <w:r w:rsidR="003F5EFD" w:rsidRPr="002B3AF2">
              <w:rPr>
                <w:rFonts w:cstheme="minorHAnsi"/>
                <w:i/>
              </w:rPr>
              <w:t>es capacités opérationnelles des services participants directement ou indirectement au recouvrement des ressources publiques</w:t>
            </w:r>
            <w:r w:rsidR="00F27D4D">
              <w:rPr>
                <w:rFonts w:cstheme="minorHAnsi"/>
                <w:i/>
              </w:rPr>
              <w:t xml:space="preserve"> ; </w:t>
            </w:r>
          </w:p>
          <w:p w:rsidR="00F27D4D" w:rsidRDefault="002B3AF2" w:rsidP="00FB18B2">
            <w:pPr>
              <w:pStyle w:val="ListParagraph"/>
              <w:numPr>
                <w:ilvl w:val="0"/>
                <w:numId w:val="9"/>
              </w:numPr>
              <w:spacing w:after="0" w:line="240" w:lineRule="auto"/>
              <w:ind w:left="161" w:hanging="251"/>
              <w:jc w:val="both"/>
              <w:rPr>
                <w:rFonts w:cstheme="minorHAnsi"/>
                <w:i/>
              </w:rPr>
            </w:pPr>
            <w:r w:rsidRPr="002B3AF2">
              <w:rPr>
                <w:rFonts w:cstheme="minorHAnsi"/>
                <w:i/>
              </w:rPr>
              <w:t>Contribution</w:t>
            </w:r>
            <w:r w:rsidR="003F5EFD" w:rsidRPr="002B3AF2">
              <w:rPr>
                <w:rFonts w:cstheme="minorHAnsi"/>
                <w:i/>
              </w:rPr>
              <w:t xml:space="preserve"> des banques commerciales au financement de l’économie nationale</w:t>
            </w:r>
            <w:r>
              <w:rPr>
                <w:rFonts w:cstheme="minorHAnsi"/>
                <w:i/>
              </w:rPr>
              <w:t xml:space="preserve"> </w:t>
            </w:r>
          </w:p>
          <w:p w:rsidR="003F5EFD" w:rsidRPr="002B3AF2" w:rsidRDefault="00F27D4D" w:rsidP="00F27D4D">
            <w:pPr>
              <w:pStyle w:val="ListParagraph"/>
              <w:numPr>
                <w:ilvl w:val="0"/>
                <w:numId w:val="9"/>
              </w:numPr>
              <w:spacing w:after="0" w:line="240" w:lineRule="auto"/>
              <w:ind w:left="161" w:hanging="251"/>
              <w:jc w:val="both"/>
              <w:rPr>
                <w:rFonts w:cstheme="minorHAnsi"/>
                <w:i/>
              </w:rPr>
            </w:pPr>
            <w:r>
              <w:rPr>
                <w:rFonts w:cstheme="minorHAnsi"/>
                <w:i/>
              </w:rPr>
              <w:t>E</w:t>
            </w:r>
            <w:r w:rsidR="003F5EFD" w:rsidRPr="002B3AF2">
              <w:rPr>
                <w:rFonts w:cstheme="minorHAnsi"/>
                <w:i/>
              </w:rPr>
              <w:t>xploitation rationnelle des mod</w:t>
            </w:r>
            <w:r>
              <w:rPr>
                <w:rFonts w:cstheme="minorHAnsi"/>
                <w:i/>
              </w:rPr>
              <w:t xml:space="preserve">es de financements alternatifs ; </w:t>
            </w:r>
          </w:p>
          <w:p w:rsidR="003F5EFD" w:rsidRPr="002B3AF2" w:rsidRDefault="002B3AF2" w:rsidP="002C6059">
            <w:pPr>
              <w:pStyle w:val="ListParagraph"/>
              <w:numPr>
                <w:ilvl w:val="0"/>
                <w:numId w:val="9"/>
              </w:numPr>
              <w:spacing w:after="0" w:line="240" w:lineRule="auto"/>
              <w:ind w:left="161" w:hanging="251"/>
              <w:jc w:val="both"/>
              <w:rPr>
                <w:rFonts w:cstheme="minorHAnsi"/>
                <w:i/>
              </w:rPr>
            </w:pPr>
            <w:r w:rsidRPr="002B3AF2">
              <w:rPr>
                <w:rFonts w:cstheme="minorHAnsi"/>
                <w:i/>
              </w:rPr>
              <w:t>Recours</w:t>
            </w:r>
            <w:r w:rsidR="003F5EFD" w:rsidRPr="002B3AF2">
              <w:rPr>
                <w:rFonts w:cstheme="minorHAnsi"/>
                <w:i/>
              </w:rPr>
              <w:t xml:space="preserve"> aux</w:t>
            </w:r>
            <w:r>
              <w:rPr>
                <w:rFonts w:cstheme="minorHAnsi"/>
                <w:i/>
              </w:rPr>
              <w:t xml:space="preserve"> </w:t>
            </w:r>
            <w:r w:rsidR="003F5EFD" w:rsidRPr="002B3AF2">
              <w:rPr>
                <w:rFonts w:cstheme="minorHAnsi"/>
                <w:i/>
              </w:rPr>
              <w:t xml:space="preserve">marchés financiers régionaux et internationaux </w:t>
            </w:r>
            <w:r w:rsidR="00F27D4D">
              <w:rPr>
                <w:rFonts w:cstheme="minorHAnsi"/>
                <w:i/>
              </w:rPr>
              <w:t xml:space="preserve">sur la base de </w:t>
            </w:r>
            <w:r w:rsidR="003F5EFD" w:rsidRPr="002B3AF2">
              <w:rPr>
                <w:rFonts w:cstheme="minorHAnsi"/>
                <w:i/>
              </w:rPr>
              <w:t>la soutenabilité de la dette publique</w:t>
            </w:r>
            <w:r w:rsidR="00F27D4D">
              <w:rPr>
                <w:rFonts w:cstheme="minorHAnsi"/>
                <w:i/>
              </w:rPr>
              <w:t xml:space="preserve"> ; </w:t>
            </w:r>
          </w:p>
          <w:p w:rsidR="003F5EFD" w:rsidRPr="00A35021" w:rsidRDefault="002B3AF2" w:rsidP="002B3AF2">
            <w:pPr>
              <w:pStyle w:val="ListParagraph"/>
              <w:numPr>
                <w:ilvl w:val="0"/>
                <w:numId w:val="9"/>
              </w:numPr>
              <w:spacing w:after="0" w:line="240" w:lineRule="auto"/>
              <w:ind w:left="161" w:hanging="251"/>
              <w:jc w:val="both"/>
              <w:rPr>
                <w:rFonts w:eastAsia="Times New Roman" w:cstheme="minorHAnsi"/>
                <w:i/>
                <w:lang w:eastAsia="en-GB"/>
              </w:rPr>
            </w:pPr>
            <w:r>
              <w:rPr>
                <w:rFonts w:cstheme="minorHAnsi"/>
                <w:i/>
              </w:rPr>
              <w:t>R</w:t>
            </w:r>
            <w:r w:rsidR="003F5EFD" w:rsidRPr="002B3AF2">
              <w:rPr>
                <w:rFonts w:cstheme="minorHAnsi"/>
                <w:i/>
              </w:rPr>
              <w:t>ecours aux politiques monétaires non conventionnelles par la BCEAO pour soutenir les économies de l’UEMOA</w:t>
            </w:r>
            <w:r w:rsidR="00F27D4D">
              <w:rPr>
                <w:rFonts w:cstheme="minorHAnsi"/>
                <w:i/>
              </w:rPr>
              <w:t xml:space="preserve">. </w:t>
            </w:r>
          </w:p>
        </w:tc>
      </w:tr>
    </w:tbl>
    <w:p w:rsidR="00B20DF0" w:rsidRDefault="00B20DF0" w:rsidP="007C5844">
      <w:pPr>
        <w:spacing w:line="240" w:lineRule="auto"/>
        <w:rPr>
          <w:rFonts w:cstheme="minorHAnsi"/>
          <w:i/>
        </w:rPr>
        <w:sectPr w:rsidR="00B20DF0" w:rsidSect="0021517F">
          <w:headerReference w:type="default" r:id="rId7"/>
          <w:footerReference w:type="default" r:id="rId8"/>
          <w:pgSz w:w="15840" w:h="12240" w:orient="landscape"/>
          <w:pgMar w:top="1440" w:right="1440" w:bottom="1440" w:left="1440" w:header="708" w:footer="708" w:gutter="0"/>
          <w:cols w:space="708"/>
          <w:docGrid w:linePitch="360"/>
        </w:sectPr>
      </w:pPr>
    </w:p>
    <w:p w:rsidR="00A35021" w:rsidRDefault="00A35021" w:rsidP="007C5844">
      <w:pPr>
        <w:spacing w:line="240" w:lineRule="auto"/>
        <w:rPr>
          <w:rFonts w:cstheme="minorHAnsi"/>
          <w:i/>
        </w:rPr>
      </w:pPr>
    </w:p>
    <w:tbl>
      <w:tblPr>
        <w:tblStyle w:val="TableGrid"/>
        <w:tblW w:w="14310" w:type="dxa"/>
        <w:tblInd w:w="-455" w:type="dxa"/>
        <w:tblLook w:val="04A0" w:firstRow="1" w:lastRow="0" w:firstColumn="1" w:lastColumn="0" w:noHBand="0" w:noVBand="1"/>
      </w:tblPr>
      <w:tblGrid>
        <w:gridCol w:w="2160"/>
        <w:gridCol w:w="2520"/>
        <w:gridCol w:w="6030"/>
        <w:gridCol w:w="3600"/>
      </w:tblGrid>
      <w:tr w:rsidR="00DB6AC9" w:rsidRPr="00A35021" w:rsidTr="005165F8">
        <w:tc>
          <w:tcPr>
            <w:tcW w:w="14310" w:type="dxa"/>
            <w:gridSpan w:val="4"/>
          </w:tcPr>
          <w:p w:rsidR="00DB6AC9" w:rsidRPr="00A35021" w:rsidRDefault="00DB6AC9" w:rsidP="00BE39D0">
            <w:pPr>
              <w:shd w:val="clear" w:color="auto" w:fill="00B0F0"/>
              <w:spacing w:after="0" w:line="240" w:lineRule="auto"/>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 xml:space="preserve">Gilbert </w:t>
            </w:r>
            <w:proofErr w:type="spellStart"/>
            <w:r w:rsidRPr="00A35021">
              <w:rPr>
                <w:rFonts w:eastAsia="Times New Roman" w:cstheme="minorHAnsi"/>
                <w:b/>
                <w:i/>
                <w:color w:val="FFFFFF" w:themeColor="background1"/>
                <w:lang w:eastAsia="en-GB"/>
              </w:rPr>
              <w:t>Naamdouda</w:t>
            </w:r>
            <w:proofErr w:type="spellEnd"/>
            <w:r w:rsidRPr="00A35021">
              <w:rPr>
                <w:rFonts w:eastAsia="Times New Roman" w:cstheme="minorHAnsi"/>
                <w:b/>
                <w:i/>
                <w:color w:val="FFFFFF" w:themeColor="background1"/>
                <w:lang w:eastAsia="en-GB"/>
              </w:rPr>
              <w:t xml:space="preserve"> OUEDRAOGO, candidat de l’Alliance pour la Démocratie et la Fédération-Rassemblement Démocratique Africain (ADF-RDA)</w:t>
            </w:r>
          </w:p>
          <w:p w:rsidR="00DB6AC9" w:rsidRPr="00A35021" w:rsidRDefault="00577BCA" w:rsidP="00577BCA">
            <w:pPr>
              <w:spacing w:after="0" w:line="240" w:lineRule="auto"/>
              <w:jc w:val="both"/>
              <w:rPr>
                <w:rFonts w:cstheme="minorHAnsi"/>
                <w:i/>
              </w:rPr>
            </w:pPr>
            <w:r>
              <w:rPr>
                <w:rFonts w:cstheme="minorHAnsi"/>
                <w:i/>
              </w:rPr>
              <w:t xml:space="preserve"> </w:t>
            </w:r>
          </w:p>
        </w:tc>
      </w:tr>
      <w:tr w:rsidR="00CF0690" w:rsidRPr="00A35021" w:rsidTr="005165F8">
        <w:tblPrEx>
          <w:jc w:val="center"/>
          <w:tblInd w:w="0" w:type="dxa"/>
        </w:tblPrEx>
        <w:trPr>
          <w:jc w:val="center"/>
        </w:trPr>
        <w:tc>
          <w:tcPr>
            <w:tcW w:w="2160" w:type="dxa"/>
            <w:shd w:val="clear" w:color="auto" w:fill="00B0F0"/>
          </w:tcPr>
          <w:p w:rsidR="00CF0690" w:rsidRPr="00A35021" w:rsidRDefault="00D2465D"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 xml:space="preserve">Existence d’une vision/ </w:t>
            </w:r>
            <w:r w:rsidR="00CF0690" w:rsidRPr="00A35021">
              <w:rPr>
                <w:rFonts w:eastAsia="Times New Roman" w:cstheme="minorHAnsi"/>
                <w:b/>
                <w:i/>
                <w:color w:val="FFFFFF" w:themeColor="background1"/>
                <w:lang w:eastAsia="en-GB"/>
              </w:rPr>
              <w:t xml:space="preserve">orientation stratégique </w:t>
            </w:r>
          </w:p>
        </w:tc>
        <w:tc>
          <w:tcPr>
            <w:tcW w:w="2520" w:type="dxa"/>
            <w:shd w:val="clear" w:color="auto" w:fill="00B0F0"/>
          </w:tcPr>
          <w:p w:rsidR="00CF0690" w:rsidRPr="00A35021" w:rsidRDefault="00CF069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Promesses / Engagements</w:t>
            </w:r>
          </w:p>
        </w:tc>
        <w:tc>
          <w:tcPr>
            <w:tcW w:w="6030" w:type="dxa"/>
            <w:shd w:val="clear" w:color="auto" w:fill="00B0F0"/>
          </w:tcPr>
          <w:p w:rsidR="00CF0690" w:rsidRPr="00A35021" w:rsidRDefault="00CF069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Stratégies d’action</w:t>
            </w:r>
          </w:p>
        </w:tc>
        <w:tc>
          <w:tcPr>
            <w:tcW w:w="3600" w:type="dxa"/>
            <w:shd w:val="clear" w:color="auto" w:fill="00B0F0"/>
          </w:tcPr>
          <w:p w:rsidR="00CF0690" w:rsidRPr="00A35021" w:rsidRDefault="00CF0690" w:rsidP="0021517F">
            <w:pPr>
              <w:spacing w:after="0" w:line="240" w:lineRule="auto"/>
              <w:jc w:val="both"/>
              <w:rPr>
                <w:rFonts w:eastAsia="Times New Roman" w:cstheme="minorHAnsi"/>
                <w:b/>
                <w:i/>
                <w:color w:val="FFFFFF" w:themeColor="background1"/>
                <w:lang w:eastAsia="en-GB"/>
              </w:rPr>
            </w:pPr>
            <w:r w:rsidRPr="00A35021">
              <w:rPr>
                <w:rFonts w:eastAsia="Times New Roman" w:cstheme="minorHAnsi"/>
                <w:b/>
                <w:i/>
                <w:color w:val="FFFFFF" w:themeColor="background1"/>
                <w:lang w:eastAsia="en-GB"/>
              </w:rPr>
              <w:t>Coût estimatif et stratégies de mobilisation des ressources financières</w:t>
            </w:r>
          </w:p>
        </w:tc>
      </w:tr>
      <w:tr w:rsidR="005165F8" w:rsidRPr="00A35021" w:rsidTr="005165F8">
        <w:tblPrEx>
          <w:jc w:val="center"/>
          <w:tblInd w:w="0" w:type="dxa"/>
        </w:tblPrEx>
        <w:trPr>
          <w:jc w:val="center"/>
        </w:trPr>
        <w:tc>
          <w:tcPr>
            <w:tcW w:w="2160" w:type="dxa"/>
            <w:shd w:val="clear" w:color="auto" w:fill="auto"/>
          </w:tcPr>
          <w:p w:rsidR="005165F8" w:rsidRPr="00A35021" w:rsidRDefault="005165F8" w:rsidP="005165F8">
            <w:pPr>
              <w:spacing w:after="0" w:line="240" w:lineRule="auto"/>
              <w:jc w:val="both"/>
              <w:rPr>
                <w:rFonts w:eastAsia="Times New Roman" w:cstheme="minorHAnsi"/>
                <w:b/>
                <w:i/>
                <w:lang w:eastAsia="en-GB"/>
              </w:rPr>
            </w:pPr>
            <w:r w:rsidRPr="006E5B6F">
              <w:rPr>
                <w:rFonts w:eastAsia="Times New Roman" w:cstheme="minorHAnsi"/>
                <w:b/>
                <w:i/>
                <w:lang w:eastAsia="en-GB"/>
              </w:rPr>
              <w:t xml:space="preserve">Le candidat s’engage à offrir de l’eau potable sans corvée et un cadre de vie assaini à tous les burkinabè </w:t>
            </w:r>
          </w:p>
        </w:tc>
        <w:tc>
          <w:tcPr>
            <w:tcW w:w="2520" w:type="dxa"/>
            <w:shd w:val="clear" w:color="auto" w:fill="auto"/>
          </w:tcPr>
          <w:p w:rsidR="005165F8" w:rsidRPr="005165F8" w:rsidRDefault="005165F8" w:rsidP="005165F8">
            <w:pPr>
              <w:spacing w:after="0" w:line="240" w:lineRule="auto"/>
              <w:jc w:val="both"/>
              <w:rPr>
                <w:rFonts w:eastAsia="Times New Roman" w:cstheme="minorHAnsi"/>
                <w:i/>
                <w:lang w:eastAsia="en-GB"/>
              </w:rPr>
            </w:pPr>
            <w:r>
              <w:rPr>
                <w:rFonts w:eastAsia="Times New Roman" w:cstheme="minorHAnsi"/>
                <w:i/>
                <w:lang w:eastAsia="en-GB"/>
              </w:rPr>
              <w:t>Le candidat à plus annoncé les stratégies qui seront adoptées plutôt que des engagements qui seront mis en œuvre </w:t>
            </w:r>
          </w:p>
        </w:tc>
        <w:tc>
          <w:tcPr>
            <w:tcW w:w="6030" w:type="dxa"/>
            <w:shd w:val="clear" w:color="auto" w:fill="auto"/>
          </w:tcPr>
          <w:p w:rsidR="005165F8" w:rsidRPr="00A35021" w:rsidRDefault="005165F8" w:rsidP="00133B9D">
            <w:pPr>
              <w:spacing w:after="0" w:line="240" w:lineRule="auto"/>
              <w:jc w:val="both"/>
              <w:rPr>
                <w:rFonts w:eastAsia="Times New Roman" w:cstheme="minorHAnsi"/>
                <w:b/>
                <w:i/>
                <w:color w:val="000000" w:themeColor="text1"/>
                <w:u w:val="single"/>
                <w:lang w:eastAsia="en-GB"/>
              </w:rPr>
            </w:pPr>
            <w:r>
              <w:rPr>
                <w:rFonts w:eastAsia="Times New Roman" w:cstheme="minorHAnsi"/>
                <w:b/>
                <w:i/>
                <w:color w:val="000000" w:themeColor="text1"/>
                <w:u w:val="single"/>
                <w:lang w:eastAsia="en-GB"/>
              </w:rPr>
              <w:t>Accès à l’eau potable</w:t>
            </w:r>
          </w:p>
          <w:p w:rsidR="005165F8" w:rsidRPr="00A35021" w:rsidRDefault="005165F8" w:rsidP="00133B9D">
            <w:pPr>
              <w:spacing w:after="0" w:line="240" w:lineRule="auto"/>
              <w:jc w:val="both"/>
              <w:rPr>
                <w:rFonts w:eastAsia="Times New Roman" w:cstheme="minorHAnsi"/>
                <w:b/>
                <w:i/>
                <w:lang w:eastAsia="en-GB"/>
              </w:rPr>
            </w:pP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Commanditer des études pour la connaissance des ressources en eau disponibles dans notre pays ;</w:t>
            </w: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 xml:space="preserve">Opérationnaliser l’approche SAEP MV (Systèmes d’approvisionnement en eau potable multi-village) ; </w:t>
            </w: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Renforcer les infrastructures hydrauliques par la promotion de la gestion déléguée de l’approvisionnement en eau potable en impliquant davantage le secteur privé ;</w:t>
            </w: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Travailler à réduire l’iniquité entre le milieu urbain et le milieu rural en matière de coût de l’eau ;</w:t>
            </w: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Réorganiser le secteur de l’approvisionnement en eau potable, en allant des avant-projets jusqu’aux exécutions des ouvrages ;</w:t>
            </w:r>
          </w:p>
          <w:p w:rsidR="005165F8" w:rsidRPr="006E5B6F"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6E5B6F">
              <w:rPr>
                <w:rFonts w:eastAsia="Times New Roman" w:cstheme="minorHAnsi"/>
                <w:i/>
                <w:lang w:eastAsia="en-GB"/>
              </w:rPr>
              <w:t>Concrétiser la décentralisation du secteur et améliorer la gouvernance locale de l’eau ;</w:t>
            </w:r>
          </w:p>
          <w:p w:rsidR="005165F8" w:rsidRPr="00A35021"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Lancer le projet 5000 forages en 5 ans ;</w:t>
            </w:r>
          </w:p>
          <w:p w:rsidR="005165F8" w:rsidRPr="00A35021"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Réhabiliter les forages non fonctionnels et impliquer les communautés dans la gestion et l’entretien des forages.</w:t>
            </w:r>
          </w:p>
          <w:p w:rsidR="005165F8" w:rsidRPr="00A35021"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A35021">
              <w:rPr>
                <w:rFonts w:eastAsia="Times New Roman" w:cstheme="minorHAnsi"/>
                <w:i/>
                <w:lang w:eastAsia="en-GB"/>
              </w:rPr>
              <w:t>Renforcer les financements dans le domaine de l’eau par la promotion des investisseurs privés nationaux.</w:t>
            </w:r>
          </w:p>
          <w:p w:rsidR="005165F8" w:rsidRPr="00A35021" w:rsidRDefault="005165F8" w:rsidP="00133B9D">
            <w:pPr>
              <w:spacing w:after="0" w:line="240" w:lineRule="auto"/>
              <w:jc w:val="both"/>
              <w:rPr>
                <w:rFonts w:eastAsia="Times New Roman" w:cstheme="minorHAnsi"/>
                <w:i/>
                <w:lang w:eastAsia="en-GB"/>
              </w:rPr>
            </w:pPr>
          </w:p>
          <w:p w:rsidR="005165F8" w:rsidRDefault="005165F8" w:rsidP="00133B9D">
            <w:pPr>
              <w:spacing w:after="0" w:line="240" w:lineRule="auto"/>
              <w:ind w:left="34"/>
              <w:jc w:val="both"/>
              <w:rPr>
                <w:rFonts w:eastAsia="Times New Roman" w:cstheme="minorHAnsi"/>
                <w:b/>
                <w:i/>
                <w:color w:val="000000" w:themeColor="text1"/>
                <w:u w:val="single"/>
                <w:lang w:eastAsia="en-GB"/>
              </w:rPr>
            </w:pPr>
            <w:r>
              <w:rPr>
                <w:rFonts w:eastAsia="Times New Roman" w:cstheme="minorHAnsi"/>
                <w:b/>
                <w:i/>
                <w:color w:val="000000" w:themeColor="text1"/>
                <w:u w:val="single"/>
                <w:lang w:eastAsia="en-GB"/>
              </w:rPr>
              <w:t>Accès à l’assainissement</w:t>
            </w:r>
          </w:p>
          <w:p w:rsidR="005165F8" w:rsidRDefault="005165F8" w:rsidP="00133B9D">
            <w:pPr>
              <w:spacing w:after="0" w:line="240" w:lineRule="auto"/>
              <w:ind w:left="34"/>
              <w:jc w:val="both"/>
              <w:rPr>
                <w:rFonts w:eastAsia="Times New Roman" w:cstheme="minorHAnsi"/>
                <w:b/>
                <w:i/>
                <w:color w:val="000000" w:themeColor="text1"/>
                <w:u w:val="single"/>
                <w:lang w:eastAsia="en-GB"/>
              </w:rPr>
            </w:pP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Mettre en place ou renforcer les centres de traitement des déchets domestiques dans toutes les grandes villes du pays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lastRenderedPageBreak/>
              <w:t>Créer une filière à l’échelle de traitement et de valorisation des eaux usées et boues de vidange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Promouvoir l’assainissement autonome au niveau familial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Relire le programme national d’Assainissement des Eaux Usées et Excréta pour l’adapter aux nouveaux défis décennaux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Assurer un accès universel et continu des populations urbaines et rurales aux services d’assainissement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Développer la recherche dans le domaine de l’assainissement des déchets solides et liquides pour une meilleure gestion des déchets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Adopter une nouvelle politique d’assainissement pluviale sur la base des modèles de villes résilientes aux changements climatiques ;</w:t>
            </w:r>
          </w:p>
          <w:p w:rsidR="005165F8" w:rsidRPr="00D247E7" w:rsidRDefault="005165F8" w:rsidP="00133B9D">
            <w:pPr>
              <w:pStyle w:val="ListParagraph"/>
              <w:numPr>
                <w:ilvl w:val="0"/>
                <w:numId w:val="9"/>
              </w:numPr>
              <w:spacing w:after="0" w:line="240" w:lineRule="auto"/>
              <w:ind w:left="161" w:hanging="251"/>
              <w:jc w:val="both"/>
              <w:rPr>
                <w:rFonts w:eastAsia="Times New Roman" w:cstheme="minorHAnsi"/>
                <w:i/>
                <w:lang w:eastAsia="en-GB"/>
              </w:rPr>
            </w:pPr>
            <w:r w:rsidRPr="00D247E7">
              <w:rPr>
                <w:rFonts w:eastAsia="Times New Roman" w:cstheme="minorHAnsi"/>
                <w:i/>
                <w:lang w:eastAsia="en-GB"/>
              </w:rPr>
              <w:t>Renforcer les financements dans le domaine de l’assainissement par la promotion des investisseurs privés nationaux.</w:t>
            </w:r>
          </w:p>
        </w:tc>
        <w:tc>
          <w:tcPr>
            <w:tcW w:w="3600" w:type="dxa"/>
            <w:shd w:val="clear" w:color="auto" w:fill="auto"/>
          </w:tcPr>
          <w:p w:rsidR="00164F30" w:rsidRDefault="00164F30" w:rsidP="00164F30">
            <w:pPr>
              <w:pStyle w:val="Default"/>
              <w:rPr>
                <w:rFonts w:asciiTheme="minorHAnsi" w:hAnsiTheme="minorHAnsi" w:cstheme="minorHAnsi"/>
                <w:i/>
                <w:sz w:val="22"/>
                <w:szCs w:val="22"/>
                <w:lang w:val="fr-FR"/>
              </w:rPr>
            </w:pPr>
            <w:r>
              <w:rPr>
                <w:rFonts w:asciiTheme="minorHAnsi" w:hAnsiTheme="minorHAnsi" w:cstheme="minorHAnsi"/>
                <w:i/>
                <w:sz w:val="22"/>
                <w:szCs w:val="22"/>
                <w:lang w:val="fr-FR"/>
              </w:rPr>
              <w:lastRenderedPageBreak/>
              <w:t xml:space="preserve">Le coût estimatif pour le volet eau et assainissement n’est pas spécifié. </w:t>
            </w:r>
          </w:p>
          <w:p w:rsidR="00164F30" w:rsidRDefault="00164F30" w:rsidP="00133B9D">
            <w:pPr>
              <w:pStyle w:val="Default"/>
              <w:jc w:val="both"/>
              <w:rPr>
                <w:rFonts w:asciiTheme="minorHAnsi" w:hAnsiTheme="minorHAnsi" w:cstheme="minorHAnsi"/>
                <w:i/>
                <w:sz w:val="22"/>
                <w:szCs w:val="22"/>
                <w:lang w:val="fr-FR"/>
              </w:rPr>
            </w:pPr>
          </w:p>
          <w:p w:rsidR="005165F8" w:rsidRPr="00A35021" w:rsidRDefault="00610C27" w:rsidP="00133B9D">
            <w:pPr>
              <w:pStyle w:val="Default"/>
              <w:jc w:val="both"/>
              <w:rPr>
                <w:rFonts w:asciiTheme="minorHAnsi" w:hAnsiTheme="minorHAnsi" w:cstheme="minorHAnsi"/>
                <w:i/>
                <w:sz w:val="22"/>
                <w:szCs w:val="22"/>
                <w:lang w:val="fr-FR"/>
              </w:rPr>
            </w:pPr>
            <w:r>
              <w:rPr>
                <w:rFonts w:asciiTheme="minorHAnsi" w:hAnsiTheme="minorHAnsi" w:cstheme="minorHAnsi"/>
                <w:i/>
                <w:sz w:val="22"/>
                <w:szCs w:val="22"/>
                <w:lang w:val="fr-FR"/>
              </w:rPr>
              <w:t>Pour l’ensemble du programme et s</w:t>
            </w:r>
            <w:r w:rsidR="005165F8" w:rsidRPr="00A35021">
              <w:rPr>
                <w:rFonts w:asciiTheme="minorHAnsi" w:hAnsiTheme="minorHAnsi" w:cstheme="minorHAnsi"/>
                <w:i/>
                <w:sz w:val="22"/>
                <w:szCs w:val="22"/>
                <w:lang w:val="fr-FR"/>
              </w:rPr>
              <w:t>ur les cin</w:t>
            </w:r>
            <w:r w:rsidR="00D001A1">
              <w:rPr>
                <w:rFonts w:asciiTheme="minorHAnsi" w:hAnsiTheme="minorHAnsi" w:cstheme="minorHAnsi"/>
                <w:i/>
                <w:sz w:val="22"/>
                <w:szCs w:val="22"/>
                <w:lang w:val="fr-FR"/>
              </w:rPr>
              <w:t xml:space="preserve">q (05) ans, la mise en œuvre du </w:t>
            </w:r>
            <w:r w:rsidR="005165F8" w:rsidRPr="00A35021">
              <w:rPr>
                <w:rFonts w:asciiTheme="minorHAnsi" w:hAnsiTheme="minorHAnsi" w:cstheme="minorHAnsi"/>
                <w:i/>
                <w:sz w:val="22"/>
                <w:szCs w:val="22"/>
                <w:lang w:val="fr-FR"/>
              </w:rPr>
              <w:t>programme mobilisera des ressources financières à hauteur de dix-sept mille six cents milliards de F CFA (17 600 milliards de F CFA).</w:t>
            </w:r>
          </w:p>
          <w:p w:rsidR="005165F8" w:rsidRPr="00A35021" w:rsidRDefault="005165F8" w:rsidP="00133B9D">
            <w:pPr>
              <w:pStyle w:val="Default"/>
              <w:jc w:val="both"/>
              <w:rPr>
                <w:rFonts w:asciiTheme="minorHAnsi" w:hAnsiTheme="minorHAnsi" w:cstheme="minorHAnsi"/>
                <w:i/>
                <w:sz w:val="22"/>
                <w:szCs w:val="22"/>
                <w:lang w:val="fr-FR"/>
              </w:rPr>
            </w:pPr>
            <w:r w:rsidRPr="00A35021">
              <w:rPr>
                <w:rFonts w:asciiTheme="minorHAnsi" w:hAnsiTheme="minorHAnsi" w:cstheme="minorHAnsi"/>
                <w:i/>
                <w:sz w:val="22"/>
                <w:szCs w:val="22"/>
                <w:lang w:val="fr-FR"/>
              </w:rPr>
              <w:t xml:space="preserve">La répartition du coût </w:t>
            </w:r>
            <w:r w:rsidR="00133B9D" w:rsidRPr="00A35021">
              <w:rPr>
                <w:rFonts w:asciiTheme="minorHAnsi" w:hAnsiTheme="minorHAnsi" w:cstheme="minorHAnsi"/>
                <w:i/>
                <w:sz w:val="22"/>
                <w:szCs w:val="22"/>
                <w:lang w:val="fr-FR"/>
              </w:rPr>
              <w:t>du programme</w:t>
            </w:r>
            <w:r w:rsidRPr="00A35021">
              <w:rPr>
                <w:rFonts w:asciiTheme="minorHAnsi" w:hAnsiTheme="minorHAnsi" w:cstheme="minorHAnsi"/>
                <w:i/>
                <w:sz w:val="22"/>
                <w:szCs w:val="22"/>
                <w:lang w:val="fr-FR"/>
              </w:rPr>
              <w:t xml:space="preserve"> par année et selon les rubriques d’affectation est présentée dans le tableau ci-dessous :</w:t>
            </w:r>
          </w:p>
          <w:p w:rsidR="005165F8" w:rsidRPr="00A35021" w:rsidRDefault="005165F8" w:rsidP="00133B9D">
            <w:pPr>
              <w:pStyle w:val="Default"/>
              <w:jc w:val="both"/>
              <w:rPr>
                <w:rFonts w:asciiTheme="minorHAnsi" w:hAnsiTheme="minorHAnsi" w:cstheme="minorHAnsi"/>
                <w:i/>
                <w:sz w:val="22"/>
                <w:szCs w:val="22"/>
                <w:lang w:val="fr-FR"/>
              </w:rPr>
            </w:pPr>
          </w:p>
          <w:p w:rsidR="005165F8" w:rsidRPr="00A35021" w:rsidRDefault="005165F8" w:rsidP="00133B9D">
            <w:pPr>
              <w:pStyle w:val="Default"/>
              <w:jc w:val="both"/>
              <w:rPr>
                <w:rFonts w:asciiTheme="minorHAnsi" w:hAnsiTheme="minorHAnsi" w:cstheme="minorHAnsi"/>
                <w:i/>
                <w:sz w:val="22"/>
                <w:szCs w:val="22"/>
                <w:lang w:val="fr-FR"/>
              </w:rPr>
            </w:pPr>
            <w:r w:rsidRPr="00A35021">
              <w:rPr>
                <w:rFonts w:asciiTheme="minorHAnsi" w:hAnsiTheme="minorHAnsi" w:cstheme="minorHAnsi"/>
                <w:i/>
                <w:sz w:val="22"/>
                <w:szCs w:val="22"/>
                <w:lang w:val="fr-FR"/>
              </w:rPr>
              <w:t>La mobilisation des ressources financières va s’’appuyer sur trois mécanismes essentiels notamment la mobilisation communautaire, la mobilisation sociale et la mobilisation fiscale.</w:t>
            </w:r>
          </w:p>
        </w:tc>
      </w:tr>
    </w:tbl>
    <w:p w:rsidR="00DB6AC9" w:rsidRPr="00A35021" w:rsidRDefault="00DB6AC9" w:rsidP="008D276B">
      <w:pPr>
        <w:spacing w:line="240" w:lineRule="auto"/>
        <w:rPr>
          <w:rFonts w:cstheme="minorHAnsi"/>
          <w:i/>
        </w:rPr>
      </w:pPr>
    </w:p>
    <w:sectPr w:rsidR="00DB6AC9" w:rsidRPr="00A35021" w:rsidSect="0021517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BD" w:rsidRDefault="00BF6CBD" w:rsidP="00A001A0">
      <w:pPr>
        <w:spacing w:after="0" w:line="240" w:lineRule="auto"/>
      </w:pPr>
      <w:r>
        <w:separator/>
      </w:r>
    </w:p>
  </w:endnote>
  <w:endnote w:type="continuationSeparator" w:id="0">
    <w:p w:rsidR="00BF6CBD" w:rsidRDefault="00BF6CBD" w:rsidP="00A0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407"/>
      <w:docPartObj>
        <w:docPartGallery w:val="Page Numbers (Bottom of Page)"/>
        <w:docPartUnique/>
      </w:docPartObj>
    </w:sdtPr>
    <w:sdtEndPr/>
    <w:sdtContent>
      <w:p w:rsidR="0021517F" w:rsidRPr="0052266F" w:rsidRDefault="0021517F" w:rsidP="00A7431C">
        <w:pPr>
          <w:pStyle w:val="Footer"/>
          <w:jc w:val="center"/>
          <w:rPr>
            <w:b/>
            <w:i/>
            <w:sz w:val="20"/>
          </w:rPr>
        </w:pPr>
        <w:r w:rsidRPr="0052266F">
          <w:rPr>
            <w:b/>
            <w:i/>
            <w:sz w:val="20"/>
          </w:rPr>
          <w:t>Analyse comparative sur le niveau de prise en compte de l’eau potable, hygiène et assainissement dans les projets de société des candidats à l’élection présidentielle du 22 novembre 2020</w:t>
        </w:r>
      </w:p>
      <w:sdt>
        <w:sdtPr>
          <w:id w:val="-4216490"/>
          <w:docPartObj>
            <w:docPartGallery w:val="Page Numbers (Top of Page)"/>
            <w:docPartUnique/>
          </w:docPartObj>
        </w:sdtPr>
        <w:sdtEndPr/>
        <w:sdtContent>
          <w:p w:rsidR="0021517F" w:rsidRDefault="0021517F">
            <w:pPr>
              <w:pStyle w:val="Footer"/>
              <w:jc w:val="right"/>
            </w:pPr>
            <w:r>
              <w:t>P</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1517F" w:rsidRPr="00A7431C" w:rsidRDefault="0021517F" w:rsidP="00A7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BD" w:rsidRDefault="00BF6CBD" w:rsidP="00A001A0">
      <w:pPr>
        <w:spacing w:after="0" w:line="240" w:lineRule="auto"/>
      </w:pPr>
      <w:r>
        <w:separator/>
      </w:r>
    </w:p>
  </w:footnote>
  <w:footnote w:type="continuationSeparator" w:id="0">
    <w:p w:rsidR="00BF6CBD" w:rsidRDefault="00BF6CBD" w:rsidP="00A0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7F" w:rsidRDefault="0021517F">
    <w:pPr>
      <w:pStyle w:val="Header"/>
    </w:pPr>
    <w:r w:rsidRPr="00310E9C">
      <w:rPr>
        <w:rFonts w:ascii="Arial" w:hAnsi="Arial" w:cs="Arial"/>
        <w:noProof/>
      </w:rPr>
      <w:drawing>
        <wp:anchor distT="0" distB="0" distL="114300" distR="114300" simplePos="0" relativeHeight="251659264" behindDoc="0" locked="0" layoutInCell="1" allowOverlap="1" wp14:anchorId="3A1E4473" wp14:editId="3634C8B8">
          <wp:simplePos x="0" y="0"/>
          <wp:positionH relativeFrom="column">
            <wp:posOffset>3357367</wp:posOffset>
          </wp:positionH>
          <wp:positionV relativeFrom="paragraph">
            <wp:posOffset>-208442</wp:posOffset>
          </wp:positionV>
          <wp:extent cx="1455420" cy="549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492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92C72D"/>
    <w:multiLevelType w:val="hybridMultilevel"/>
    <w:tmpl w:val="05C5B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DA3BA0"/>
    <w:multiLevelType w:val="hybridMultilevel"/>
    <w:tmpl w:val="8EA6B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B2AE3"/>
    <w:multiLevelType w:val="hybridMultilevel"/>
    <w:tmpl w:val="FFB4C4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D0972"/>
    <w:multiLevelType w:val="hybridMultilevel"/>
    <w:tmpl w:val="2DC68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C6938"/>
    <w:multiLevelType w:val="hybridMultilevel"/>
    <w:tmpl w:val="8B6A05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CB2B51"/>
    <w:multiLevelType w:val="hybridMultilevel"/>
    <w:tmpl w:val="17C43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422F4"/>
    <w:multiLevelType w:val="hybridMultilevel"/>
    <w:tmpl w:val="53F67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0E7E"/>
    <w:multiLevelType w:val="hybridMultilevel"/>
    <w:tmpl w:val="880CB756"/>
    <w:lvl w:ilvl="0" w:tplc="C0809E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F5A9E"/>
    <w:multiLevelType w:val="hybridMultilevel"/>
    <w:tmpl w:val="61345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6319F"/>
    <w:multiLevelType w:val="hybridMultilevel"/>
    <w:tmpl w:val="E0A01B3C"/>
    <w:lvl w:ilvl="0" w:tplc="26A613E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A56DB"/>
    <w:multiLevelType w:val="hybridMultilevel"/>
    <w:tmpl w:val="96F23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24D33"/>
    <w:multiLevelType w:val="hybridMultilevel"/>
    <w:tmpl w:val="B15C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97111"/>
    <w:multiLevelType w:val="hybridMultilevel"/>
    <w:tmpl w:val="D222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F4E26"/>
    <w:multiLevelType w:val="hybridMultilevel"/>
    <w:tmpl w:val="39E6B3E8"/>
    <w:lvl w:ilvl="0" w:tplc="6F62A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12"/>
  </w:num>
  <w:num w:numId="7">
    <w:abstractNumId w:val="8"/>
  </w:num>
  <w:num w:numId="8">
    <w:abstractNumId w:val="10"/>
  </w:num>
  <w:num w:numId="9">
    <w:abstractNumId w:val="3"/>
  </w:num>
  <w:num w:numId="10">
    <w:abstractNumId w:val="11"/>
  </w:num>
  <w:num w:numId="11">
    <w:abstractNumId w:val="6"/>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B5"/>
    <w:rsid w:val="000061FC"/>
    <w:rsid w:val="000226B5"/>
    <w:rsid w:val="0002516F"/>
    <w:rsid w:val="00025B43"/>
    <w:rsid w:val="00042147"/>
    <w:rsid w:val="000435B5"/>
    <w:rsid w:val="000449B2"/>
    <w:rsid w:val="000605F3"/>
    <w:rsid w:val="00062943"/>
    <w:rsid w:val="000678C4"/>
    <w:rsid w:val="0007311E"/>
    <w:rsid w:val="00077FAA"/>
    <w:rsid w:val="000808AC"/>
    <w:rsid w:val="00093F6F"/>
    <w:rsid w:val="000A6EE5"/>
    <w:rsid w:val="000B1D92"/>
    <w:rsid w:val="000B3D5B"/>
    <w:rsid w:val="000B7D7A"/>
    <w:rsid w:val="000C1387"/>
    <w:rsid w:val="000C5117"/>
    <w:rsid w:val="000D67E6"/>
    <w:rsid w:val="000F0F86"/>
    <w:rsid w:val="000F21E0"/>
    <w:rsid w:val="000F4AE2"/>
    <w:rsid w:val="0010353D"/>
    <w:rsid w:val="001059F1"/>
    <w:rsid w:val="00110D9E"/>
    <w:rsid w:val="00115B3B"/>
    <w:rsid w:val="00117044"/>
    <w:rsid w:val="0012378A"/>
    <w:rsid w:val="00127A33"/>
    <w:rsid w:val="001306A1"/>
    <w:rsid w:val="00133B9D"/>
    <w:rsid w:val="00135E0C"/>
    <w:rsid w:val="0014021D"/>
    <w:rsid w:val="00142B44"/>
    <w:rsid w:val="001535E8"/>
    <w:rsid w:val="00160980"/>
    <w:rsid w:val="00164F30"/>
    <w:rsid w:val="001660A4"/>
    <w:rsid w:val="00182AF6"/>
    <w:rsid w:val="001926A1"/>
    <w:rsid w:val="00192D59"/>
    <w:rsid w:val="001A61E2"/>
    <w:rsid w:val="001A79CC"/>
    <w:rsid w:val="001B6BB3"/>
    <w:rsid w:val="001C3728"/>
    <w:rsid w:val="001C6593"/>
    <w:rsid w:val="001F2F7C"/>
    <w:rsid w:val="001F5411"/>
    <w:rsid w:val="002011CE"/>
    <w:rsid w:val="0021481B"/>
    <w:rsid w:val="0021517F"/>
    <w:rsid w:val="00217E64"/>
    <w:rsid w:val="002310D4"/>
    <w:rsid w:val="00241B34"/>
    <w:rsid w:val="002443B6"/>
    <w:rsid w:val="002460CA"/>
    <w:rsid w:val="00260311"/>
    <w:rsid w:val="0026353B"/>
    <w:rsid w:val="002667E8"/>
    <w:rsid w:val="002676FC"/>
    <w:rsid w:val="00272F4A"/>
    <w:rsid w:val="0028402F"/>
    <w:rsid w:val="00285DB3"/>
    <w:rsid w:val="00290984"/>
    <w:rsid w:val="00297FC8"/>
    <w:rsid w:val="002A0BD5"/>
    <w:rsid w:val="002B3AF2"/>
    <w:rsid w:val="002B764E"/>
    <w:rsid w:val="002C7268"/>
    <w:rsid w:val="002E0607"/>
    <w:rsid w:val="002E2BFA"/>
    <w:rsid w:val="002F2ACA"/>
    <w:rsid w:val="00301515"/>
    <w:rsid w:val="00305D3E"/>
    <w:rsid w:val="0030726A"/>
    <w:rsid w:val="00312581"/>
    <w:rsid w:val="00327DAE"/>
    <w:rsid w:val="00332A29"/>
    <w:rsid w:val="003365A7"/>
    <w:rsid w:val="00351DE8"/>
    <w:rsid w:val="00352F33"/>
    <w:rsid w:val="00377A95"/>
    <w:rsid w:val="0038369D"/>
    <w:rsid w:val="0038552B"/>
    <w:rsid w:val="00392F24"/>
    <w:rsid w:val="003B23D8"/>
    <w:rsid w:val="003B5E13"/>
    <w:rsid w:val="003B7DA1"/>
    <w:rsid w:val="003E21E5"/>
    <w:rsid w:val="003E3478"/>
    <w:rsid w:val="003F0528"/>
    <w:rsid w:val="003F5EFD"/>
    <w:rsid w:val="003F7DE1"/>
    <w:rsid w:val="004102E9"/>
    <w:rsid w:val="0041060F"/>
    <w:rsid w:val="00411DAB"/>
    <w:rsid w:val="00425192"/>
    <w:rsid w:val="0042741D"/>
    <w:rsid w:val="00432822"/>
    <w:rsid w:val="00432FEB"/>
    <w:rsid w:val="00434138"/>
    <w:rsid w:val="0044693B"/>
    <w:rsid w:val="00447EEA"/>
    <w:rsid w:val="00460BFB"/>
    <w:rsid w:val="00461791"/>
    <w:rsid w:val="00461801"/>
    <w:rsid w:val="0048334F"/>
    <w:rsid w:val="0048365E"/>
    <w:rsid w:val="00493AA1"/>
    <w:rsid w:val="004A33BB"/>
    <w:rsid w:val="004B194F"/>
    <w:rsid w:val="004C190E"/>
    <w:rsid w:val="004D02D7"/>
    <w:rsid w:val="004D7CAB"/>
    <w:rsid w:val="004F7845"/>
    <w:rsid w:val="00503055"/>
    <w:rsid w:val="00504527"/>
    <w:rsid w:val="00506EFE"/>
    <w:rsid w:val="00510C08"/>
    <w:rsid w:val="00510FF8"/>
    <w:rsid w:val="00513C87"/>
    <w:rsid w:val="005165F8"/>
    <w:rsid w:val="00521EA3"/>
    <w:rsid w:val="0052266F"/>
    <w:rsid w:val="0053100B"/>
    <w:rsid w:val="00551F6D"/>
    <w:rsid w:val="00561190"/>
    <w:rsid w:val="00564FD6"/>
    <w:rsid w:val="00565C87"/>
    <w:rsid w:val="00566995"/>
    <w:rsid w:val="005674CA"/>
    <w:rsid w:val="0057199D"/>
    <w:rsid w:val="005725C8"/>
    <w:rsid w:val="00575F07"/>
    <w:rsid w:val="00576F66"/>
    <w:rsid w:val="00577BCA"/>
    <w:rsid w:val="0059208E"/>
    <w:rsid w:val="00592355"/>
    <w:rsid w:val="005A0542"/>
    <w:rsid w:val="005A1F94"/>
    <w:rsid w:val="005A2D19"/>
    <w:rsid w:val="005C1C90"/>
    <w:rsid w:val="005C3802"/>
    <w:rsid w:val="005D65A8"/>
    <w:rsid w:val="005E6825"/>
    <w:rsid w:val="006019A9"/>
    <w:rsid w:val="0061034A"/>
    <w:rsid w:val="00610C27"/>
    <w:rsid w:val="00613E99"/>
    <w:rsid w:val="00615105"/>
    <w:rsid w:val="00620B8B"/>
    <w:rsid w:val="00625181"/>
    <w:rsid w:val="0062628D"/>
    <w:rsid w:val="006366A7"/>
    <w:rsid w:val="006369FB"/>
    <w:rsid w:val="00637D83"/>
    <w:rsid w:val="00642B68"/>
    <w:rsid w:val="00645042"/>
    <w:rsid w:val="0064698B"/>
    <w:rsid w:val="00657B21"/>
    <w:rsid w:val="00665273"/>
    <w:rsid w:val="006653C2"/>
    <w:rsid w:val="00686165"/>
    <w:rsid w:val="00691F95"/>
    <w:rsid w:val="00693297"/>
    <w:rsid w:val="006957DF"/>
    <w:rsid w:val="00695B5A"/>
    <w:rsid w:val="00697ACC"/>
    <w:rsid w:val="006A277B"/>
    <w:rsid w:val="006C528D"/>
    <w:rsid w:val="006D3648"/>
    <w:rsid w:val="006D36B0"/>
    <w:rsid w:val="006D46B2"/>
    <w:rsid w:val="006E5B6F"/>
    <w:rsid w:val="006E602F"/>
    <w:rsid w:val="006F1DB0"/>
    <w:rsid w:val="00712C42"/>
    <w:rsid w:val="007240D9"/>
    <w:rsid w:val="00725CBB"/>
    <w:rsid w:val="00726D13"/>
    <w:rsid w:val="007321A7"/>
    <w:rsid w:val="00734FC1"/>
    <w:rsid w:val="00745136"/>
    <w:rsid w:val="00754453"/>
    <w:rsid w:val="00765D3B"/>
    <w:rsid w:val="0077535D"/>
    <w:rsid w:val="0078635C"/>
    <w:rsid w:val="00792FE1"/>
    <w:rsid w:val="00795B00"/>
    <w:rsid w:val="007A14AC"/>
    <w:rsid w:val="007C1535"/>
    <w:rsid w:val="007C5844"/>
    <w:rsid w:val="007D01B5"/>
    <w:rsid w:val="007D1C56"/>
    <w:rsid w:val="007D33A5"/>
    <w:rsid w:val="007E293F"/>
    <w:rsid w:val="007F4B9B"/>
    <w:rsid w:val="00801168"/>
    <w:rsid w:val="008046C7"/>
    <w:rsid w:val="00810243"/>
    <w:rsid w:val="00814F9D"/>
    <w:rsid w:val="00822E31"/>
    <w:rsid w:val="0082398E"/>
    <w:rsid w:val="00830D8B"/>
    <w:rsid w:val="00870A84"/>
    <w:rsid w:val="00882262"/>
    <w:rsid w:val="00890068"/>
    <w:rsid w:val="008A5CF9"/>
    <w:rsid w:val="008A6E02"/>
    <w:rsid w:val="008B1B14"/>
    <w:rsid w:val="008B1D67"/>
    <w:rsid w:val="008D276B"/>
    <w:rsid w:val="008D70F1"/>
    <w:rsid w:val="008D7EDC"/>
    <w:rsid w:val="008E1C9E"/>
    <w:rsid w:val="008E7125"/>
    <w:rsid w:val="008F1C76"/>
    <w:rsid w:val="00916BF7"/>
    <w:rsid w:val="00917DF3"/>
    <w:rsid w:val="0092203E"/>
    <w:rsid w:val="0092303A"/>
    <w:rsid w:val="00926FF6"/>
    <w:rsid w:val="00930642"/>
    <w:rsid w:val="009350EC"/>
    <w:rsid w:val="00935ADD"/>
    <w:rsid w:val="0097567D"/>
    <w:rsid w:val="00992576"/>
    <w:rsid w:val="00994742"/>
    <w:rsid w:val="009A436B"/>
    <w:rsid w:val="009B3826"/>
    <w:rsid w:val="009C5E98"/>
    <w:rsid w:val="009D2F08"/>
    <w:rsid w:val="009E5B96"/>
    <w:rsid w:val="009F3779"/>
    <w:rsid w:val="00A001A0"/>
    <w:rsid w:val="00A01225"/>
    <w:rsid w:val="00A04133"/>
    <w:rsid w:val="00A12D0D"/>
    <w:rsid w:val="00A240B0"/>
    <w:rsid w:val="00A35021"/>
    <w:rsid w:val="00A47C20"/>
    <w:rsid w:val="00A667E7"/>
    <w:rsid w:val="00A7431C"/>
    <w:rsid w:val="00A82201"/>
    <w:rsid w:val="00A84F5C"/>
    <w:rsid w:val="00AB7C7E"/>
    <w:rsid w:val="00AC0103"/>
    <w:rsid w:val="00AD4B55"/>
    <w:rsid w:val="00AD4FF1"/>
    <w:rsid w:val="00AD505B"/>
    <w:rsid w:val="00AE3E2B"/>
    <w:rsid w:val="00AE79CD"/>
    <w:rsid w:val="00AF00BE"/>
    <w:rsid w:val="00B001BE"/>
    <w:rsid w:val="00B1413C"/>
    <w:rsid w:val="00B20726"/>
    <w:rsid w:val="00B20C65"/>
    <w:rsid w:val="00B20DF0"/>
    <w:rsid w:val="00B2533F"/>
    <w:rsid w:val="00B2565F"/>
    <w:rsid w:val="00B33B03"/>
    <w:rsid w:val="00B516DC"/>
    <w:rsid w:val="00B57368"/>
    <w:rsid w:val="00B65F05"/>
    <w:rsid w:val="00B66926"/>
    <w:rsid w:val="00B82407"/>
    <w:rsid w:val="00B9123B"/>
    <w:rsid w:val="00B95E94"/>
    <w:rsid w:val="00BA5A90"/>
    <w:rsid w:val="00BC05AA"/>
    <w:rsid w:val="00BD19D0"/>
    <w:rsid w:val="00BD40C0"/>
    <w:rsid w:val="00BE39D0"/>
    <w:rsid w:val="00BE5BEB"/>
    <w:rsid w:val="00BF4FD5"/>
    <w:rsid w:val="00BF6CBD"/>
    <w:rsid w:val="00C03D1F"/>
    <w:rsid w:val="00C220B9"/>
    <w:rsid w:val="00C253A4"/>
    <w:rsid w:val="00C31E23"/>
    <w:rsid w:val="00C34629"/>
    <w:rsid w:val="00C423C1"/>
    <w:rsid w:val="00C42BD6"/>
    <w:rsid w:val="00C4403C"/>
    <w:rsid w:val="00C56421"/>
    <w:rsid w:val="00C63617"/>
    <w:rsid w:val="00C81A0D"/>
    <w:rsid w:val="00C924F6"/>
    <w:rsid w:val="00C92E88"/>
    <w:rsid w:val="00CA347D"/>
    <w:rsid w:val="00CB4DAF"/>
    <w:rsid w:val="00CB6AEB"/>
    <w:rsid w:val="00CC3157"/>
    <w:rsid w:val="00CD2611"/>
    <w:rsid w:val="00CD6BD1"/>
    <w:rsid w:val="00CD7553"/>
    <w:rsid w:val="00CF0690"/>
    <w:rsid w:val="00CF7379"/>
    <w:rsid w:val="00D001A1"/>
    <w:rsid w:val="00D0299B"/>
    <w:rsid w:val="00D047CB"/>
    <w:rsid w:val="00D109AA"/>
    <w:rsid w:val="00D1226F"/>
    <w:rsid w:val="00D241D3"/>
    <w:rsid w:val="00D2465D"/>
    <w:rsid w:val="00D247E7"/>
    <w:rsid w:val="00D25143"/>
    <w:rsid w:val="00D32052"/>
    <w:rsid w:val="00D44DD3"/>
    <w:rsid w:val="00D466E9"/>
    <w:rsid w:val="00D545EE"/>
    <w:rsid w:val="00D572C1"/>
    <w:rsid w:val="00D6283C"/>
    <w:rsid w:val="00D65CEF"/>
    <w:rsid w:val="00D669B8"/>
    <w:rsid w:val="00D67147"/>
    <w:rsid w:val="00D6757A"/>
    <w:rsid w:val="00D72B14"/>
    <w:rsid w:val="00D75E6A"/>
    <w:rsid w:val="00DA4ABD"/>
    <w:rsid w:val="00DA7EEA"/>
    <w:rsid w:val="00DB2A50"/>
    <w:rsid w:val="00DB5AF9"/>
    <w:rsid w:val="00DB638A"/>
    <w:rsid w:val="00DB6AC9"/>
    <w:rsid w:val="00DC64EA"/>
    <w:rsid w:val="00DD3D04"/>
    <w:rsid w:val="00DE1C1C"/>
    <w:rsid w:val="00DE2236"/>
    <w:rsid w:val="00DE4D8B"/>
    <w:rsid w:val="00DE55C0"/>
    <w:rsid w:val="00E02BDA"/>
    <w:rsid w:val="00E0617F"/>
    <w:rsid w:val="00E06845"/>
    <w:rsid w:val="00E31938"/>
    <w:rsid w:val="00E33CAB"/>
    <w:rsid w:val="00E47B44"/>
    <w:rsid w:val="00E54D9B"/>
    <w:rsid w:val="00E729BF"/>
    <w:rsid w:val="00E76E62"/>
    <w:rsid w:val="00EB4C8F"/>
    <w:rsid w:val="00EC4577"/>
    <w:rsid w:val="00EC58D2"/>
    <w:rsid w:val="00F064DA"/>
    <w:rsid w:val="00F16514"/>
    <w:rsid w:val="00F2151B"/>
    <w:rsid w:val="00F27D4D"/>
    <w:rsid w:val="00F309EC"/>
    <w:rsid w:val="00F55ED2"/>
    <w:rsid w:val="00F55FB1"/>
    <w:rsid w:val="00F634D4"/>
    <w:rsid w:val="00F6672C"/>
    <w:rsid w:val="00F85B0A"/>
    <w:rsid w:val="00F9022B"/>
    <w:rsid w:val="00FA5408"/>
    <w:rsid w:val="00FC0031"/>
    <w:rsid w:val="00FC3570"/>
    <w:rsid w:val="00FD1815"/>
    <w:rsid w:val="00FD27AA"/>
    <w:rsid w:val="00FE0A75"/>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3AA5"/>
  <w15:chartTrackingRefBased/>
  <w15:docId w15:val="{6AA09A9C-3DAE-4F23-A603-FC11F882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51B"/>
    <w:pPr>
      <w:spacing w:after="200" w:line="276" w:lineRule="auto"/>
    </w:pPr>
    <w:rPr>
      <w:lang w:val="fr-FR"/>
    </w:rPr>
  </w:style>
  <w:style w:type="paragraph" w:styleId="Heading1">
    <w:name w:val="heading 1"/>
    <w:basedOn w:val="Normal"/>
    <w:next w:val="Normal"/>
    <w:link w:val="Heading1Char"/>
    <w:uiPriority w:val="9"/>
    <w:qFormat/>
    <w:rsid w:val="000435B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B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4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B5"/>
  </w:style>
  <w:style w:type="paragraph" w:styleId="Footer">
    <w:name w:val="footer"/>
    <w:basedOn w:val="Normal"/>
    <w:link w:val="FooterChar"/>
    <w:uiPriority w:val="99"/>
    <w:unhideWhenUsed/>
    <w:rsid w:val="0004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B5"/>
  </w:style>
  <w:style w:type="paragraph" w:styleId="BalloonText">
    <w:name w:val="Balloon Text"/>
    <w:basedOn w:val="Normal"/>
    <w:link w:val="BalloonTextChar"/>
    <w:uiPriority w:val="99"/>
    <w:semiHidden/>
    <w:unhideWhenUsed/>
    <w:rsid w:val="0051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08"/>
    <w:rPr>
      <w:rFonts w:ascii="Segoe UI" w:hAnsi="Segoe UI" w:cs="Segoe UI"/>
      <w:sz w:val="18"/>
      <w:szCs w:val="18"/>
    </w:rPr>
  </w:style>
  <w:style w:type="paragraph" w:styleId="ListParagraph">
    <w:name w:val="List Paragraph"/>
    <w:basedOn w:val="Normal"/>
    <w:uiPriority w:val="34"/>
    <w:qFormat/>
    <w:rsid w:val="00F2151B"/>
    <w:pPr>
      <w:ind w:left="720"/>
      <w:contextualSpacing/>
    </w:pPr>
  </w:style>
  <w:style w:type="character" w:customStyle="1" w:styleId="A6">
    <w:name w:val="A6"/>
    <w:uiPriority w:val="99"/>
    <w:rsid w:val="00062943"/>
    <w:rPr>
      <w:rFonts w:cs="Gotham"/>
      <w:color w:val="000000"/>
      <w:sz w:val="20"/>
      <w:szCs w:val="20"/>
    </w:rPr>
  </w:style>
  <w:style w:type="paragraph" w:customStyle="1" w:styleId="Default">
    <w:name w:val="Default"/>
    <w:rsid w:val="00062943"/>
    <w:pPr>
      <w:autoSpaceDE w:val="0"/>
      <w:autoSpaceDN w:val="0"/>
      <w:adjustRightInd w:val="0"/>
      <w:spacing w:after="0" w:line="240" w:lineRule="auto"/>
    </w:pPr>
    <w:rPr>
      <w:rFonts w:ascii="Gotham" w:hAnsi="Gotham" w:cs="Gotham"/>
      <w:color w:val="000000"/>
      <w:sz w:val="24"/>
      <w:szCs w:val="24"/>
    </w:rPr>
  </w:style>
  <w:style w:type="paragraph" w:customStyle="1" w:styleId="Pa2">
    <w:name w:val="Pa2"/>
    <w:basedOn w:val="Default"/>
    <w:next w:val="Default"/>
    <w:uiPriority w:val="99"/>
    <w:rsid w:val="0006294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8653">
      <w:bodyDiv w:val="1"/>
      <w:marLeft w:val="0"/>
      <w:marRight w:val="0"/>
      <w:marTop w:val="0"/>
      <w:marBottom w:val="0"/>
      <w:divBdr>
        <w:top w:val="none" w:sz="0" w:space="0" w:color="auto"/>
        <w:left w:val="none" w:sz="0" w:space="0" w:color="auto"/>
        <w:bottom w:val="none" w:sz="0" w:space="0" w:color="auto"/>
        <w:right w:val="none" w:sz="0" w:space="0" w:color="auto"/>
      </w:divBdr>
      <w:divsChild>
        <w:div w:id="548499385">
          <w:marLeft w:val="547"/>
          <w:marRight w:val="0"/>
          <w:marTop w:val="0"/>
          <w:marBottom w:val="0"/>
          <w:divBdr>
            <w:top w:val="none" w:sz="0" w:space="0" w:color="auto"/>
            <w:left w:val="none" w:sz="0" w:space="0" w:color="auto"/>
            <w:bottom w:val="none" w:sz="0" w:space="0" w:color="auto"/>
            <w:right w:val="none" w:sz="0" w:space="0" w:color="auto"/>
          </w:divBdr>
        </w:div>
      </w:divsChild>
    </w:div>
    <w:div w:id="1518885516">
      <w:bodyDiv w:val="1"/>
      <w:marLeft w:val="0"/>
      <w:marRight w:val="0"/>
      <w:marTop w:val="0"/>
      <w:marBottom w:val="0"/>
      <w:divBdr>
        <w:top w:val="none" w:sz="0" w:space="0" w:color="auto"/>
        <w:left w:val="none" w:sz="0" w:space="0" w:color="auto"/>
        <w:bottom w:val="none" w:sz="0" w:space="0" w:color="auto"/>
        <w:right w:val="none" w:sz="0" w:space="0" w:color="auto"/>
      </w:divBdr>
    </w:div>
    <w:div w:id="15258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Ouangre</dc:creator>
  <cp:keywords/>
  <dc:description/>
  <cp:lastModifiedBy>Landry Ouangre</cp:lastModifiedBy>
  <cp:revision>11</cp:revision>
  <dcterms:created xsi:type="dcterms:W3CDTF">2020-11-20T14:47:00Z</dcterms:created>
  <dcterms:modified xsi:type="dcterms:W3CDTF">2020-11-20T14:56:00Z</dcterms:modified>
</cp:coreProperties>
</file>