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FD" w:rsidRPr="00AC163E" w:rsidRDefault="009523F0" w:rsidP="00AC163E">
      <w:pPr>
        <w:spacing w:before="240"/>
        <w:jc w:val="center"/>
        <w:rPr>
          <w:rFonts w:ascii="Arial Narrow" w:hAnsi="Arial Narrow"/>
        </w:rPr>
      </w:pPr>
      <w:r>
        <w:rPr>
          <w:rFonts w:ascii="Arial Narrow" w:hAnsi="Arial Narrow"/>
          <w:noProof/>
          <w:lang w:eastAsia="fr-FR"/>
        </w:rPr>
        <w:drawing>
          <wp:inline distT="0" distB="0" distL="0" distR="0">
            <wp:extent cx="1532255" cy="1033145"/>
            <wp:effectExtent l="0" t="0" r="0" b="0"/>
            <wp:docPr id="1" name="Image 1" descr="cg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1033145"/>
                    </a:xfrm>
                    <a:prstGeom prst="rect">
                      <a:avLst/>
                    </a:prstGeom>
                    <a:noFill/>
                    <a:ln>
                      <a:noFill/>
                    </a:ln>
                  </pic:spPr>
                </pic:pic>
              </a:graphicData>
            </a:graphic>
          </wp:inline>
        </w:drawing>
      </w:r>
    </w:p>
    <w:p w:rsidR="00E64AFD" w:rsidRPr="00AC163E" w:rsidRDefault="00EC6B53" w:rsidP="00AC163E">
      <w:pPr>
        <w:pBdr>
          <w:top w:val="single" w:sz="4" w:space="1" w:color="auto"/>
          <w:left w:val="single" w:sz="4" w:space="4" w:color="auto"/>
          <w:bottom w:val="single" w:sz="4" w:space="1" w:color="auto"/>
          <w:right w:val="single" w:sz="4" w:space="4" w:color="auto"/>
        </w:pBdr>
        <w:shd w:val="clear" w:color="auto" w:fill="EEECE1"/>
        <w:spacing w:before="240"/>
        <w:jc w:val="center"/>
        <w:rPr>
          <w:rFonts w:ascii="Arial Narrow" w:hAnsi="Arial Narrow"/>
          <w:b/>
        </w:rPr>
      </w:pPr>
      <w:r w:rsidRPr="00AC163E">
        <w:rPr>
          <w:rFonts w:ascii="Arial Narrow" w:hAnsi="Arial Narrow"/>
          <w:b/>
        </w:rPr>
        <w:t>LES BURKINABÈ ET LES VALEURS RELIGIEUSES</w:t>
      </w:r>
    </w:p>
    <w:p w:rsidR="00AE1F86" w:rsidRPr="00AC163E" w:rsidRDefault="007C5937" w:rsidP="00AC163E">
      <w:pPr>
        <w:spacing w:before="240"/>
        <w:ind w:firstLine="567"/>
        <w:jc w:val="both"/>
        <w:rPr>
          <w:rFonts w:ascii="Arial Narrow" w:hAnsi="Arial Narrow"/>
        </w:rPr>
      </w:pPr>
      <w:r w:rsidRPr="00AC163E">
        <w:rPr>
          <w:rFonts w:ascii="Arial Narrow" w:hAnsi="Arial Narrow"/>
        </w:rPr>
        <w:t xml:space="preserve">Il est des choses que les </w:t>
      </w:r>
      <w:r w:rsidR="00D915BB" w:rsidRPr="00AC163E">
        <w:rPr>
          <w:rFonts w:ascii="Arial Narrow" w:hAnsi="Arial Narrow"/>
        </w:rPr>
        <w:t>Burkinabè</w:t>
      </w:r>
      <w:r w:rsidRPr="00AC163E">
        <w:rPr>
          <w:rFonts w:ascii="Arial Narrow" w:hAnsi="Arial Narrow"/>
        </w:rPr>
        <w:t xml:space="preserve"> apprécient, estiment, recommandent, voire proposent comme idéal. Ainsi des valeurs religieuses</w:t>
      </w:r>
      <w:r w:rsidR="00AE1F86" w:rsidRPr="00AC163E">
        <w:rPr>
          <w:rFonts w:ascii="Arial Narrow" w:hAnsi="Arial Narrow"/>
        </w:rPr>
        <w:t>, comme l'atteste</w:t>
      </w:r>
      <w:r w:rsidRPr="00AC163E">
        <w:rPr>
          <w:rFonts w:ascii="Arial Narrow" w:hAnsi="Arial Narrow"/>
        </w:rPr>
        <w:t xml:space="preserve"> l'enquête par sondage réalisée en 2010 par le Centre pour la Gouvernance Démocratique (CGD) sur un échantillon aléatoire de 1200 individus ayant plus de 18 ans</w:t>
      </w:r>
      <w:r w:rsidR="00AE1F86" w:rsidRPr="00AC163E">
        <w:rPr>
          <w:rFonts w:ascii="Arial Narrow" w:hAnsi="Arial Narrow"/>
        </w:rPr>
        <w:t>,</w:t>
      </w:r>
      <w:r w:rsidRPr="00AC163E">
        <w:rPr>
          <w:rFonts w:ascii="Arial Narrow" w:hAnsi="Arial Narrow"/>
        </w:rPr>
        <w:t xml:space="preserve"> résidant dans les treize régions du pays</w:t>
      </w:r>
      <w:r w:rsidR="00AE1F86" w:rsidRPr="00AC163E">
        <w:rPr>
          <w:rFonts w:ascii="Arial Narrow" w:hAnsi="Arial Narrow"/>
        </w:rPr>
        <w:t xml:space="preserve"> et se déclarant à 62% de confession musulmane et à 31% de confession chrétienne, les animistes représentant 6% de cet échantillon. </w:t>
      </w:r>
    </w:p>
    <w:p w:rsidR="0022298B" w:rsidRPr="00AC163E" w:rsidRDefault="00AE1F86" w:rsidP="00AC163E">
      <w:pPr>
        <w:spacing w:before="120"/>
        <w:ind w:firstLine="567"/>
        <w:jc w:val="both"/>
        <w:rPr>
          <w:rFonts w:ascii="Arial Narrow" w:hAnsi="Arial Narrow"/>
        </w:rPr>
      </w:pPr>
      <w:r w:rsidRPr="00AC163E">
        <w:rPr>
          <w:rFonts w:ascii="Arial Narrow" w:hAnsi="Arial Narrow"/>
        </w:rPr>
        <w:t xml:space="preserve">Selon les résultats de cette enquête, </w:t>
      </w:r>
      <w:r w:rsidR="007C5937" w:rsidRPr="00AC163E">
        <w:rPr>
          <w:rFonts w:ascii="Arial Narrow" w:hAnsi="Arial Narrow"/>
        </w:rPr>
        <w:t>l</w:t>
      </w:r>
      <w:r w:rsidR="00F0491E" w:rsidRPr="00AC163E">
        <w:rPr>
          <w:rFonts w:ascii="Arial Narrow" w:hAnsi="Arial Narrow"/>
        </w:rPr>
        <w:t xml:space="preserve">a religion </w:t>
      </w:r>
      <w:r w:rsidR="007C5937" w:rsidRPr="00AC163E">
        <w:rPr>
          <w:rFonts w:ascii="Arial Narrow" w:hAnsi="Arial Narrow"/>
        </w:rPr>
        <w:t>apparaît d'abord comme</w:t>
      </w:r>
      <w:r w:rsidR="00F0491E" w:rsidRPr="00AC163E">
        <w:rPr>
          <w:rFonts w:ascii="Arial Narrow" w:hAnsi="Arial Narrow"/>
        </w:rPr>
        <w:t xml:space="preserve"> une valeur cardinale pour les Burkinabè</w:t>
      </w:r>
      <w:r w:rsidR="007C5937" w:rsidRPr="00AC163E">
        <w:rPr>
          <w:rFonts w:ascii="Arial Narrow" w:hAnsi="Arial Narrow"/>
        </w:rPr>
        <w:t>, qui</w:t>
      </w:r>
      <w:r w:rsidR="0022298B" w:rsidRPr="00AC163E">
        <w:rPr>
          <w:rFonts w:ascii="Arial Narrow" w:hAnsi="Arial Narrow"/>
        </w:rPr>
        <w:t xml:space="preserve"> s</w:t>
      </w:r>
      <w:r w:rsidR="007C5937" w:rsidRPr="00AC163E">
        <w:rPr>
          <w:rFonts w:ascii="Arial Narrow" w:hAnsi="Arial Narrow"/>
        </w:rPr>
        <w:t>e considèrent comme</w:t>
      </w:r>
      <w:r w:rsidR="00D915BB" w:rsidRPr="00AC163E">
        <w:rPr>
          <w:rFonts w:ascii="Arial Narrow" w:hAnsi="Arial Narrow"/>
        </w:rPr>
        <w:t xml:space="preserve"> des pratiquants</w:t>
      </w:r>
      <w:r w:rsidR="007C5937" w:rsidRPr="00AC163E">
        <w:rPr>
          <w:rFonts w:ascii="Arial Narrow" w:hAnsi="Arial Narrow"/>
        </w:rPr>
        <w:t xml:space="preserve">. Ensuite, les Burkinabè </w:t>
      </w:r>
      <w:r w:rsidR="00F0491E" w:rsidRPr="00AC163E">
        <w:rPr>
          <w:rFonts w:ascii="Arial Narrow" w:hAnsi="Arial Narrow"/>
        </w:rPr>
        <w:t xml:space="preserve">sont dans l'ensemble tolérants </w:t>
      </w:r>
      <w:r w:rsidR="007C5937" w:rsidRPr="00AC163E">
        <w:rPr>
          <w:rFonts w:ascii="Arial Narrow" w:hAnsi="Arial Narrow"/>
        </w:rPr>
        <w:t>en matière de</w:t>
      </w:r>
      <w:r w:rsidR="00F0491E" w:rsidRPr="00AC163E">
        <w:rPr>
          <w:rFonts w:ascii="Arial Narrow" w:hAnsi="Arial Narrow"/>
        </w:rPr>
        <w:t xml:space="preserve"> religion</w:t>
      </w:r>
      <w:r w:rsidR="007C5937" w:rsidRPr="00AC163E">
        <w:rPr>
          <w:rFonts w:ascii="Arial Narrow" w:hAnsi="Arial Narrow"/>
        </w:rPr>
        <w:t>, même si cette tendance semble à la baisse. Enfin, b</w:t>
      </w:r>
      <w:r w:rsidR="00F0491E" w:rsidRPr="00AC163E">
        <w:rPr>
          <w:rFonts w:ascii="Arial Narrow" w:hAnsi="Arial Narrow"/>
        </w:rPr>
        <w:t xml:space="preserve">ien qu'ils considèrent qu'un bon dirigeant se doit d'être religieux, </w:t>
      </w:r>
      <w:r w:rsidR="0022298B" w:rsidRPr="00AC163E">
        <w:rPr>
          <w:rFonts w:ascii="Arial Narrow" w:hAnsi="Arial Narrow"/>
        </w:rPr>
        <w:t>les Burkinabè</w:t>
      </w:r>
      <w:r w:rsidR="00F0491E" w:rsidRPr="00AC163E">
        <w:rPr>
          <w:rFonts w:ascii="Arial Narrow" w:hAnsi="Arial Narrow"/>
        </w:rPr>
        <w:t xml:space="preserve"> ne souhaitent pas que leurs leaders religieux in</w:t>
      </w:r>
      <w:r w:rsidR="00D915BB" w:rsidRPr="00AC163E">
        <w:rPr>
          <w:rFonts w:ascii="Arial Narrow" w:hAnsi="Arial Narrow"/>
        </w:rPr>
        <w:t xml:space="preserve">terfèrent dans </w:t>
      </w:r>
      <w:r w:rsidR="00F0491E" w:rsidRPr="00AC163E">
        <w:rPr>
          <w:rFonts w:ascii="Arial Narrow" w:hAnsi="Arial Narrow"/>
        </w:rPr>
        <w:t>les décisions gouvernementales</w:t>
      </w:r>
      <w:r w:rsidR="007C5937" w:rsidRPr="00AC163E">
        <w:rPr>
          <w:rFonts w:ascii="Arial Narrow" w:hAnsi="Arial Narrow"/>
        </w:rPr>
        <w:t>.</w:t>
      </w:r>
    </w:p>
    <w:p w:rsidR="000520E2" w:rsidRPr="00AC163E" w:rsidRDefault="000520E2" w:rsidP="00AC163E">
      <w:pPr>
        <w:spacing w:before="120"/>
        <w:ind w:firstLine="567"/>
        <w:jc w:val="both"/>
        <w:rPr>
          <w:rFonts w:ascii="Arial Narrow" w:hAnsi="Arial Narrow"/>
        </w:rPr>
      </w:pPr>
    </w:p>
    <w:p w:rsidR="003B60DD" w:rsidRPr="00AC163E" w:rsidRDefault="00ED4C89" w:rsidP="00AC163E">
      <w:pPr>
        <w:numPr>
          <w:ilvl w:val="0"/>
          <w:numId w:val="10"/>
        </w:numPr>
        <w:spacing w:before="120"/>
        <w:jc w:val="both"/>
        <w:rPr>
          <w:rFonts w:ascii="Arial Narrow" w:hAnsi="Arial Narrow"/>
          <w:b/>
          <w:bCs/>
          <w:u w:val="single"/>
        </w:rPr>
      </w:pPr>
      <w:r w:rsidRPr="00AC163E">
        <w:rPr>
          <w:rFonts w:ascii="Arial Narrow" w:hAnsi="Arial Narrow"/>
          <w:b/>
          <w:bCs/>
          <w:u w:val="single"/>
        </w:rPr>
        <w:t>L</w:t>
      </w:r>
      <w:r w:rsidR="007537CC" w:rsidRPr="00AC163E">
        <w:rPr>
          <w:rFonts w:ascii="Arial Narrow" w:hAnsi="Arial Narrow"/>
          <w:b/>
          <w:bCs/>
          <w:u w:val="single"/>
        </w:rPr>
        <w:t>a religion</w:t>
      </w:r>
      <w:r w:rsidRPr="00AC163E">
        <w:rPr>
          <w:rFonts w:ascii="Arial Narrow" w:hAnsi="Arial Narrow"/>
          <w:b/>
          <w:bCs/>
          <w:u w:val="single"/>
        </w:rPr>
        <w:t>,</w:t>
      </w:r>
      <w:r w:rsidR="007537CC" w:rsidRPr="00AC163E">
        <w:rPr>
          <w:rFonts w:ascii="Arial Narrow" w:hAnsi="Arial Narrow"/>
          <w:b/>
          <w:bCs/>
          <w:u w:val="single"/>
        </w:rPr>
        <w:t xml:space="preserve"> une valeur cardinale</w:t>
      </w:r>
      <w:r w:rsidRPr="00AC163E">
        <w:rPr>
          <w:rFonts w:ascii="Arial Narrow" w:hAnsi="Arial Narrow"/>
          <w:b/>
          <w:bCs/>
          <w:u w:val="single"/>
        </w:rPr>
        <w:t xml:space="preserve"> </w:t>
      </w:r>
      <w:r w:rsidR="00730BDB" w:rsidRPr="00AC163E">
        <w:rPr>
          <w:rFonts w:ascii="Arial Narrow" w:hAnsi="Arial Narrow"/>
          <w:b/>
          <w:bCs/>
          <w:u w:val="single"/>
        </w:rPr>
        <w:t>pour la grande majorité des B</w:t>
      </w:r>
      <w:r w:rsidR="007537CC" w:rsidRPr="00AC163E">
        <w:rPr>
          <w:rFonts w:ascii="Arial Narrow" w:hAnsi="Arial Narrow"/>
          <w:b/>
          <w:bCs/>
          <w:u w:val="single"/>
        </w:rPr>
        <w:t>urkinabè</w:t>
      </w:r>
    </w:p>
    <w:p w:rsidR="009523F0" w:rsidRDefault="009523F0" w:rsidP="00AC163E">
      <w:pPr>
        <w:ind w:firstLine="567"/>
        <w:jc w:val="both"/>
        <w:rPr>
          <w:rFonts w:ascii="Arial Narrow" w:hAnsi="Arial Narrow"/>
          <w:iCs/>
          <w:lang w:bidi="bn-IN"/>
        </w:rPr>
      </w:pPr>
    </w:p>
    <w:p w:rsidR="00ED10CE" w:rsidRPr="00AC163E" w:rsidRDefault="003B60DD" w:rsidP="00AC163E">
      <w:pPr>
        <w:ind w:firstLine="567"/>
        <w:jc w:val="both"/>
        <w:rPr>
          <w:rFonts w:ascii="Arial Narrow" w:hAnsi="Arial Narrow"/>
          <w:lang w:bidi="bn-IN"/>
        </w:rPr>
      </w:pPr>
      <w:bookmarkStart w:id="0" w:name="_GoBack"/>
      <w:bookmarkEnd w:id="0"/>
      <w:r w:rsidRPr="00AC163E">
        <w:rPr>
          <w:rFonts w:ascii="Arial Narrow" w:hAnsi="Arial Narrow"/>
          <w:iCs/>
          <w:lang w:bidi="bn-IN"/>
        </w:rPr>
        <w:t xml:space="preserve">En 2010, les valeurs </w:t>
      </w:r>
      <w:r w:rsidR="007C5937" w:rsidRPr="00AC163E">
        <w:rPr>
          <w:rFonts w:ascii="Arial Narrow" w:hAnsi="Arial Narrow"/>
          <w:iCs/>
          <w:lang w:bidi="bn-IN"/>
        </w:rPr>
        <w:t xml:space="preserve">jugées </w:t>
      </w:r>
      <w:r w:rsidRPr="00AC163E">
        <w:rPr>
          <w:rFonts w:ascii="Arial Narrow" w:hAnsi="Arial Narrow"/>
          <w:iCs/>
          <w:lang w:bidi="bn-IN"/>
        </w:rPr>
        <w:t>cardinales</w:t>
      </w:r>
      <w:r w:rsidR="007C5937" w:rsidRPr="00AC163E">
        <w:rPr>
          <w:rFonts w:ascii="Arial Narrow" w:hAnsi="Arial Narrow"/>
          <w:iCs/>
          <w:lang w:bidi="bn-IN"/>
        </w:rPr>
        <w:t xml:space="preserve"> par les Burkinabè interrogés dans l'enquête par sondage du CGD </w:t>
      </w:r>
      <w:r w:rsidR="00B035A7" w:rsidRPr="00AC163E">
        <w:rPr>
          <w:rFonts w:ascii="Arial Narrow" w:hAnsi="Arial Narrow"/>
          <w:iCs/>
          <w:lang w:bidi="bn-IN"/>
        </w:rPr>
        <w:t>étaient :</w:t>
      </w:r>
      <w:r w:rsidRPr="00AC163E">
        <w:rPr>
          <w:rFonts w:ascii="Arial Narrow" w:hAnsi="Arial Narrow"/>
          <w:iCs/>
          <w:lang w:bidi="bn-IN"/>
        </w:rPr>
        <w:t xml:space="preserve"> la famille, le travail et la religion</w:t>
      </w:r>
      <w:r w:rsidR="007C5937" w:rsidRPr="00AC163E">
        <w:rPr>
          <w:rFonts w:ascii="Arial Narrow" w:hAnsi="Arial Narrow"/>
          <w:iCs/>
          <w:lang w:bidi="bn-IN"/>
        </w:rPr>
        <w:t>, jugés importants par la quasi-totalité des répondants</w:t>
      </w:r>
      <w:r w:rsidRPr="00AC163E">
        <w:rPr>
          <w:rFonts w:ascii="Arial Narrow" w:hAnsi="Arial Narrow"/>
          <w:iCs/>
          <w:lang w:bidi="bn-IN"/>
        </w:rPr>
        <w:t xml:space="preserve"> (99%), suivis des amis (95%), des loisirs (66%)</w:t>
      </w:r>
      <w:r w:rsidR="007C5937" w:rsidRPr="00AC163E">
        <w:rPr>
          <w:rFonts w:ascii="Arial Narrow" w:hAnsi="Arial Narrow"/>
          <w:iCs/>
          <w:lang w:bidi="bn-IN"/>
        </w:rPr>
        <w:t>, et loin derrière, l</w:t>
      </w:r>
      <w:r w:rsidRPr="00AC163E">
        <w:rPr>
          <w:rFonts w:ascii="Arial Narrow" w:hAnsi="Arial Narrow"/>
          <w:iCs/>
          <w:lang w:bidi="bn-IN"/>
        </w:rPr>
        <w:t>a politique</w:t>
      </w:r>
      <w:r w:rsidR="00D915BB" w:rsidRPr="00AC163E">
        <w:rPr>
          <w:rFonts w:ascii="Arial Narrow" w:hAnsi="Arial Narrow"/>
          <w:iCs/>
          <w:lang w:bidi="bn-IN"/>
        </w:rPr>
        <w:t>,</w:t>
      </w:r>
      <w:r w:rsidRPr="00AC163E">
        <w:rPr>
          <w:rFonts w:ascii="Arial Narrow" w:hAnsi="Arial Narrow"/>
          <w:iCs/>
          <w:lang w:bidi="bn-IN"/>
        </w:rPr>
        <w:t xml:space="preserve"> considérée par la majorité </w:t>
      </w:r>
      <w:r w:rsidR="007C5937" w:rsidRPr="00AC163E">
        <w:rPr>
          <w:rFonts w:ascii="Arial Narrow" w:hAnsi="Arial Narrow"/>
          <w:iCs/>
          <w:lang w:bidi="bn-IN"/>
        </w:rPr>
        <w:t xml:space="preserve">absolue </w:t>
      </w:r>
      <w:r w:rsidRPr="00AC163E">
        <w:rPr>
          <w:rFonts w:ascii="Arial Narrow" w:hAnsi="Arial Narrow"/>
          <w:iCs/>
          <w:lang w:bidi="bn-IN"/>
        </w:rPr>
        <w:t xml:space="preserve">des répondants </w:t>
      </w:r>
      <w:r w:rsidR="007C5937" w:rsidRPr="00AC163E">
        <w:rPr>
          <w:rFonts w:ascii="Arial Narrow" w:hAnsi="Arial Narrow"/>
          <w:iCs/>
          <w:lang w:bidi="bn-IN"/>
        </w:rPr>
        <w:t xml:space="preserve">(51%) </w:t>
      </w:r>
      <w:r w:rsidRPr="00AC163E">
        <w:rPr>
          <w:rFonts w:ascii="Arial Narrow" w:hAnsi="Arial Narrow"/>
          <w:iCs/>
          <w:lang w:bidi="bn-IN"/>
        </w:rPr>
        <w:t>comme pas importante</w:t>
      </w:r>
      <w:r w:rsidR="007C5937" w:rsidRPr="00AC163E">
        <w:rPr>
          <w:rFonts w:ascii="Arial Narrow" w:hAnsi="Arial Narrow"/>
          <w:iCs/>
          <w:lang w:bidi="bn-IN"/>
        </w:rPr>
        <w:t xml:space="preserve"> dans leur vie</w:t>
      </w:r>
      <w:r w:rsidRPr="00AC163E">
        <w:rPr>
          <w:rFonts w:ascii="Arial Narrow" w:hAnsi="Arial Narrow"/>
          <w:iCs/>
          <w:lang w:bidi="bn-IN"/>
        </w:rPr>
        <w:t>.</w:t>
      </w:r>
      <w:r w:rsidR="000520E2" w:rsidRPr="00AC163E">
        <w:rPr>
          <w:rFonts w:ascii="Arial Narrow" w:hAnsi="Arial Narrow"/>
          <w:iCs/>
          <w:lang w:bidi="bn-IN"/>
        </w:rPr>
        <w:t xml:space="preserve"> </w:t>
      </w:r>
      <w:r w:rsidRPr="00AC163E">
        <w:rPr>
          <w:rFonts w:ascii="Arial Narrow" w:hAnsi="Arial Narrow"/>
          <w:bCs/>
        </w:rPr>
        <w:t>L</w:t>
      </w:r>
      <w:r w:rsidR="00E97B13" w:rsidRPr="00AC163E">
        <w:rPr>
          <w:rFonts w:ascii="Arial Narrow" w:hAnsi="Arial Narrow"/>
          <w:bCs/>
        </w:rPr>
        <w:t xml:space="preserve">a foi religieuse est l'une des </w:t>
      </w:r>
      <w:r w:rsidR="000520E2" w:rsidRPr="00AC163E">
        <w:rPr>
          <w:rFonts w:ascii="Arial Narrow" w:hAnsi="Arial Narrow"/>
          <w:bCs/>
        </w:rPr>
        <w:t>trois</w:t>
      </w:r>
      <w:r w:rsidR="00622DB6" w:rsidRPr="00AC163E">
        <w:rPr>
          <w:rFonts w:ascii="Arial Narrow" w:hAnsi="Arial Narrow"/>
          <w:bCs/>
        </w:rPr>
        <w:t xml:space="preserve"> valeurs les plus </w:t>
      </w:r>
      <w:r w:rsidR="000520E2" w:rsidRPr="00AC163E">
        <w:rPr>
          <w:rFonts w:ascii="Arial Narrow" w:hAnsi="Arial Narrow"/>
          <w:bCs/>
        </w:rPr>
        <w:t>important</w:t>
      </w:r>
      <w:r w:rsidR="00622DB6" w:rsidRPr="00AC163E">
        <w:rPr>
          <w:rFonts w:ascii="Arial Narrow" w:hAnsi="Arial Narrow"/>
          <w:bCs/>
        </w:rPr>
        <w:t xml:space="preserve">es que les Burkinabè </w:t>
      </w:r>
      <w:r w:rsidR="000520E2" w:rsidRPr="00AC163E">
        <w:rPr>
          <w:rFonts w:ascii="Arial Narrow" w:hAnsi="Arial Narrow"/>
          <w:bCs/>
        </w:rPr>
        <w:t>souhaite</w:t>
      </w:r>
      <w:r w:rsidR="00622DB6" w:rsidRPr="00AC163E">
        <w:rPr>
          <w:rFonts w:ascii="Arial Narrow" w:hAnsi="Arial Narrow"/>
          <w:bCs/>
        </w:rPr>
        <w:t>nt inculquer à leurs enfants</w:t>
      </w:r>
      <w:r w:rsidR="000520E2" w:rsidRPr="00AC163E">
        <w:rPr>
          <w:rFonts w:ascii="Arial Narrow" w:hAnsi="Arial Narrow"/>
          <w:bCs/>
        </w:rPr>
        <w:t xml:space="preserve">, </w:t>
      </w:r>
      <w:r w:rsidR="00622DB6" w:rsidRPr="00AC163E">
        <w:rPr>
          <w:rFonts w:ascii="Arial Narrow" w:hAnsi="Arial Narrow"/>
          <w:bCs/>
        </w:rPr>
        <w:t xml:space="preserve">après </w:t>
      </w:r>
      <w:r w:rsidR="000520E2" w:rsidRPr="00AC163E">
        <w:rPr>
          <w:rFonts w:ascii="Arial Narrow" w:hAnsi="Arial Narrow"/>
          <w:bCs/>
        </w:rPr>
        <w:t>le</w:t>
      </w:r>
      <w:r w:rsidR="00622DB6" w:rsidRPr="00AC163E">
        <w:rPr>
          <w:rFonts w:ascii="Arial Narrow" w:hAnsi="Arial Narrow"/>
          <w:bCs/>
        </w:rPr>
        <w:t xml:space="preserve"> travail</w:t>
      </w:r>
      <w:r w:rsidR="000520E2" w:rsidRPr="00AC163E">
        <w:rPr>
          <w:rFonts w:ascii="Arial Narrow" w:hAnsi="Arial Narrow"/>
          <w:bCs/>
        </w:rPr>
        <w:t xml:space="preserve"> et la tolérance</w:t>
      </w:r>
      <w:r w:rsidR="007537CC" w:rsidRPr="00AC163E">
        <w:rPr>
          <w:rFonts w:ascii="Arial Narrow" w:hAnsi="Arial Narrow"/>
          <w:bCs/>
        </w:rPr>
        <w:t xml:space="preserve">. </w:t>
      </w:r>
      <w:r w:rsidR="000520E2" w:rsidRPr="00AC163E">
        <w:rPr>
          <w:rFonts w:ascii="Arial Narrow" w:hAnsi="Arial Narrow"/>
          <w:bCs/>
        </w:rPr>
        <w:t xml:space="preserve">En matière d'association (au sens formel et informel), celles à caractère </w:t>
      </w:r>
      <w:r w:rsidR="00622DB6" w:rsidRPr="00AC163E">
        <w:rPr>
          <w:rFonts w:ascii="Arial Narrow" w:hAnsi="Arial Narrow"/>
          <w:bCs/>
        </w:rPr>
        <w:t>religieux constituent l</w:t>
      </w:r>
      <w:r w:rsidR="00563E39">
        <w:rPr>
          <w:rFonts w:ascii="Arial Narrow" w:hAnsi="Arial Narrow"/>
          <w:bCs/>
        </w:rPr>
        <w:t>e premier type d'association auquel</w:t>
      </w:r>
      <w:r w:rsidR="00622DB6" w:rsidRPr="00AC163E">
        <w:rPr>
          <w:rFonts w:ascii="Arial Narrow" w:hAnsi="Arial Narrow"/>
          <w:bCs/>
        </w:rPr>
        <w:t xml:space="preserve"> les Burkinabè choisissent de s'affilier</w:t>
      </w:r>
      <w:r w:rsidR="00D915BB" w:rsidRPr="00AC163E">
        <w:rPr>
          <w:rFonts w:ascii="Arial Narrow" w:hAnsi="Arial Narrow"/>
          <w:bCs/>
        </w:rPr>
        <w:t>. P</w:t>
      </w:r>
      <w:r w:rsidR="00622DB6" w:rsidRPr="00AC163E">
        <w:rPr>
          <w:rFonts w:ascii="Arial Narrow" w:hAnsi="Arial Narrow"/>
          <w:bCs/>
        </w:rPr>
        <w:t xml:space="preserve">resque la moitié des </w:t>
      </w:r>
      <w:r w:rsidR="000520E2" w:rsidRPr="00AC163E">
        <w:rPr>
          <w:rFonts w:ascii="Arial Narrow" w:hAnsi="Arial Narrow"/>
          <w:bCs/>
        </w:rPr>
        <w:t>répondants</w:t>
      </w:r>
      <w:r w:rsidR="00622DB6" w:rsidRPr="00AC163E">
        <w:rPr>
          <w:rFonts w:ascii="Arial Narrow" w:hAnsi="Arial Narrow"/>
          <w:bCs/>
        </w:rPr>
        <w:t xml:space="preserve"> </w:t>
      </w:r>
      <w:r w:rsidR="000520E2" w:rsidRPr="00AC163E">
        <w:rPr>
          <w:rFonts w:ascii="Arial Narrow" w:hAnsi="Arial Narrow"/>
          <w:bCs/>
        </w:rPr>
        <w:t xml:space="preserve">affirme être </w:t>
      </w:r>
      <w:r w:rsidR="00622DB6" w:rsidRPr="00AC163E">
        <w:rPr>
          <w:rFonts w:ascii="Arial Narrow" w:hAnsi="Arial Narrow"/>
          <w:bCs/>
        </w:rPr>
        <w:t xml:space="preserve">affiliée </w:t>
      </w:r>
      <w:r w:rsidR="00D915BB" w:rsidRPr="00AC163E">
        <w:rPr>
          <w:rFonts w:ascii="Arial Narrow" w:hAnsi="Arial Narrow"/>
          <w:bCs/>
        </w:rPr>
        <w:t xml:space="preserve">en effet </w:t>
      </w:r>
      <w:r w:rsidR="00622DB6" w:rsidRPr="00AC163E">
        <w:rPr>
          <w:rFonts w:ascii="Arial Narrow" w:hAnsi="Arial Narrow"/>
          <w:bCs/>
        </w:rPr>
        <w:t>à une association à caractère religieux</w:t>
      </w:r>
      <w:r w:rsidR="007537CC" w:rsidRPr="00AC163E">
        <w:rPr>
          <w:rFonts w:ascii="Arial Narrow" w:hAnsi="Arial Narrow"/>
          <w:bCs/>
        </w:rPr>
        <w:t xml:space="preserve">. </w:t>
      </w:r>
      <w:r w:rsidR="00D915BB" w:rsidRPr="00AC163E">
        <w:rPr>
          <w:rFonts w:ascii="Arial Narrow" w:hAnsi="Arial Narrow"/>
          <w:bCs/>
        </w:rPr>
        <w:t>En outre, l</w:t>
      </w:r>
      <w:r w:rsidR="00ED10CE" w:rsidRPr="00AC163E">
        <w:rPr>
          <w:rFonts w:ascii="Arial Narrow" w:eastAsia="Times New Roman" w:hAnsi="Arial Narrow"/>
          <w:lang w:eastAsia="en-US"/>
        </w:rPr>
        <w:t xml:space="preserve">a </w:t>
      </w:r>
      <w:r w:rsidR="00AE1F86" w:rsidRPr="00AC163E">
        <w:rPr>
          <w:rFonts w:ascii="Arial Narrow" w:eastAsia="Times New Roman" w:hAnsi="Arial Narrow"/>
          <w:lang w:eastAsia="en-US"/>
        </w:rPr>
        <w:t xml:space="preserve">grande </w:t>
      </w:r>
      <w:r w:rsidR="00ED10CE" w:rsidRPr="00AC163E">
        <w:rPr>
          <w:rFonts w:ascii="Arial Narrow" w:eastAsia="Times New Roman" w:hAnsi="Arial Narrow"/>
          <w:lang w:eastAsia="en-US"/>
        </w:rPr>
        <w:t>majorité des enquêtés</w:t>
      </w:r>
      <w:r w:rsidR="00AE1F86" w:rsidRPr="00AC163E">
        <w:rPr>
          <w:rFonts w:ascii="Arial Narrow" w:eastAsia="Times New Roman" w:hAnsi="Arial Narrow"/>
          <w:lang w:eastAsia="en-US"/>
        </w:rPr>
        <w:t xml:space="preserve"> sont des pratiquants. Plus de 61% d'entre eux affirment </w:t>
      </w:r>
      <w:r w:rsidR="00ED10CE" w:rsidRPr="00AC163E">
        <w:rPr>
          <w:rFonts w:ascii="Arial Narrow" w:eastAsia="Times New Roman" w:hAnsi="Arial Narrow"/>
          <w:lang w:eastAsia="en-US"/>
        </w:rPr>
        <w:t>assiste</w:t>
      </w:r>
      <w:r w:rsidR="00AE1F86" w:rsidRPr="00AC163E">
        <w:rPr>
          <w:rFonts w:ascii="Arial Narrow" w:eastAsia="Times New Roman" w:hAnsi="Arial Narrow"/>
          <w:lang w:eastAsia="en-US"/>
        </w:rPr>
        <w:t>r</w:t>
      </w:r>
      <w:r w:rsidR="00ED10CE" w:rsidRPr="00AC163E">
        <w:rPr>
          <w:rFonts w:ascii="Arial Narrow" w:eastAsia="Times New Roman" w:hAnsi="Arial Narrow"/>
          <w:lang w:eastAsia="en-US"/>
        </w:rPr>
        <w:t xml:space="preserve"> à des services religieu</w:t>
      </w:r>
      <w:r w:rsidR="00AE1F86" w:rsidRPr="00AC163E">
        <w:rPr>
          <w:rFonts w:ascii="Arial Narrow" w:eastAsia="Times New Roman" w:hAnsi="Arial Narrow"/>
          <w:lang w:eastAsia="en-US"/>
        </w:rPr>
        <w:t>x</w:t>
      </w:r>
      <w:r w:rsidR="00ED10CE" w:rsidRPr="00AC163E">
        <w:rPr>
          <w:rFonts w:ascii="Arial Narrow" w:eastAsia="Times New Roman" w:hAnsi="Arial Narrow"/>
          <w:lang w:eastAsia="en-US"/>
        </w:rPr>
        <w:t xml:space="preserve"> plus d'une fois par se</w:t>
      </w:r>
      <w:r w:rsidR="00AE1F86" w:rsidRPr="00AC163E">
        <w:rPr>
          <w:rFonts w:ascii="Arial Narrow" w:eastAsia="Times New Roman" w:hAnsi="Arial Narrow"/>
          <w:lang w:eastAsia="en-US"/>
        </w:rPr>
        <w:t xml:space="preserve">maine et 95% </w:t>
      </w:r>
      <w:r w:rsidR="00ED10CE" w:rsidRPr="00AC163E">
        <w:rPr>
          <w:rFonts w:ascii="Arial Narrow" w:eastAsia="Times New Roman" w:hAnsi="Arial Narrow"/>
          <w:lang w:eastAsia="en-US"/>
        </w:rPr>
        <w:t>se défini</w:t>
      </w:r>
      <w:r w:rsidR="00AE1F86" w:rsidRPr="00AC163E">
        <w:rPr>
          <w:rFonts w:ascii="Arial Narrow" w:eastAsia="Times New Roman" w:hAnsi="Arial Narrow"/>
          <w:lang w:eastAsia="en-US"/>
        </w:rPr>
        <w:t>ssen</w:t>
      </w:r>
      <w:r w:rsidR="00ED10CE" w:rsidRPr="00AC163E">
        <w:rPr>
          <w:rFonts w:ascii="Arial Narrow" w:eastAsia="Times New Roman" w:hAnsi="Arial Narrow"/>
          <w:lang w:eastAsia="en-US"/>
        </w:rPr>
        <w:t>t comme personne</w:t>
      </w:r>
      <w:r w:rsidR="00AE1F86" w:rsidRPr="00AC163E">
        <w:rPr>
          <w:rFonts w:ascii="Arial Narrow" w:eastAsia="Times New Roman" w:hAnsi="Arial Narrow"/>
          <w:lang w:eastAsia="en-US"/>
        </w:rPr>
        <w:t>s</w:t>
      </w:r>
      <w:r w:rsidR="00ED10CE" w:rsidRPr="00AC163E">
        <w:rPr>
          <w:rFonts w:ascii="Arial Narrow" w:eastAsia="Times New Roman" w:hAnsi="Arial Narrow"/>
          <w:lang w:eastAsia="en-US"/>
        </w:rPr>
        <w:t xml:space="preserve"> religieuse</w:t>
      </w:r>
      <w:r w:rsidR="00AE1F86" w:rsidRPr="00AC163E">
        <w:rPr>
          <w:rFonts w:ascii="Arial Narrow" w:eastAsia="Times New Roman" w:hAnsi="Arial Narrow"/>
          <w:lang w:eastAsia="en-US"/>
        </w:rPr>
        <w:t>s</w:t>
      </w:r>
      <w:r w:rsidR="00ED10CE" w:rsidRPr="00AC163E">
        <w:rPr>
          <w:rFonts w:ascii="Arial Narrow" w:eastAsia="Times New Roman" w:hAnsi="Arial Narrow"/>
          <w:lang w:eastAsia="en-US"/>
        </w:rPr>
        <w:t xml:space="preserve">. </w:t>
      </w:r>
      <w:r w:rsidR="00901E63" w:rsidRPr="00AC163E">
        <w:rPr>
          <w:rFonts w:ascii="Arial Narrow" w:eastAsia="Times New Roman" w:hAnsi="Arial Narrow"/>
          <w:lang w:eastAsia="en-US"/>
        </w:rPr>
        <w:t xml:space="preserve">La quasi totalité des répondants soulignent l'importance de Dieu dans leur vie et affirment consacrer un peu de leur temps à </w:t>
      </w:r>
      <w:r w:rsidR="00901E63" w:rsidRPr="00AC163E">
        <w:rPr>
          <w:rFonts w:ascii="Arial Narrow" w:hAnsi="Arial Narrow"/>
          <w:lang w:bidi="bn-IN"/>
        </w:rPr>
        <w:t>la prière, à la méditation ou à la contemplation.</w:t>
      </w:r>
    </w:p>
    <w:p w:rsidR="00794156" w:rsidRPr="00AC163E" w:rsidRDefault="00794156" w:rsidP="00AC163E">
      <w:pPr>
        <w:ind w:firstLine="567"/>
        <w:jc w:val="both"/>
        <w:rPr>
          <w:rFonts w:ascii="Arial Narrow" w:hAnsi="Arial Narrow"/>
          <w:lang w:bidi="bn-IN"/>
        </w:rPr>
      </w:pPr>
    </w:p>
    <w:p w:rsidR="0086234D" w:rsidRPr="00AC163E" w:rsidRDefault="0086234D" w:rsidP="00AC163E">
      <w:pPr>
        <w:jc w:val="both"/>
        <w:rPr>
          <w:rFonts w:ascii="Arial Narrow" w:hAnsi="Arial Narrow"/>
          <w:b/>
          <w:sz w:val="22"/>
          <w:szCs w:val="22"/>
        </w:rPr>
      </w:pPr>
      <w:r w:rsidRPr="00AC163E">
        <w:rPr>
          <w:rFonts w:ascii="Arial Narrow" w:hAnsi="Arial Narrow"/>
          <w:b/>
          <w:sz w:val="22"/>
          <w:szCs w:val="22"/>
          <w:u w:val="single"/>
        </w:rPr>
        <w:t>Tableau n°1</w:t>
      </w:r>
      <w:r w:rsidR="00F20EB0" w:rsidRPr="00AC163E">
        <w:rPr>
          <w:rFonts w:ascii="Arial Narrow" w:hAnsi="Arial Narrow"/>
          <w:b/>
          <w:sz w:val="22"/>
          <w:szCs w:val="22"/>
        </w:rPr>
        <w:t xml:space="preserve"> </w:t>
      </w:r>
      <w:r w:rsidRPr="00AC163E">
        <w:rPr>
          <w:rFonts w:ascii="Arial Narrow" w:hAnsi="Arial Narrow"/>
          <w:sz w:val="22"/>
          <w:szCs w:val="22"/>
        </w:rPr>
        <w:t xml:space="preserve">: </w:t>
      </w:r>
      <w:r w:rsidR="00AC163E" w:rsidRPr="00AC163E">
        <w:rPr>
          <w:rFonts w:ascii="Arial Narrow" w:hAnsi="Arial Narrow"/>
          <w:b/>
          <w:sz w:val="22"/>
          <w:szCs w:val="22"/>
        </w:rPr>
        <w:t>Les valeurs cardinales des Burkinabè</w:t>
      </w:r>
    </w:p>
    <w:p w:rsidR="00794156" w:rsidRPr="00AC163E" w:rsidRDefault="00794156" w:rsidP="00AC163E">
      <w:pPr>
        <w:jc w:val="both"/>
        <w:rPr>
          <w:rFonts w:ascii="Arial Narrow" w:hAnsi="Arial Narrow"/>
          <w:iCs/>
          <w:sz w:val="22"/>
          <w:szCs w:val="22"/>
          <w:lang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93"/>
        <w:gridCol w:w="1048"/>
        <w:gridCol w:w="1419"/>
        <w:gridCol w:w="1048"/>
        <w:gridCol w:w="1419"/>
      </w:tblGrid>
      <w:tr w:rsidR="00F20EB0" w:rsidRPr="00AC163E" w:rsidTr="00794156">
        <w:trPr>
          <w:tblHeader/>
        </w:trPr>
        <w:tc>
          <w:tcPr>
            <w:tcW w:w="0" w:type="auto"/>
            <w:vMerge w:val="restart"/>
            <w:tcBorders>
              <w:top w:val="single" w:sz="12" w:space="0" w:color="auto"/>
              <w:left w:val="single" w:sz="12" w:space="0" w:color="auto"/>
              <w:right w:val="single" w:sz="12" w:space="0" w:color="auto"/>
              <w:tl2br w:val="single" w:sz="4" w:space="0" w:color="auto"/>
            </w:tcBorders>
          </w:tcPr>
          <w:p w:rsidR="00F20EB0" w:rsidRPr="00AC163E" w:rsidRDefault="00F20EB0" w:rsidP="00AC163E">
            <w:pPr>
              <w:autoSpaceDE w:val="0"/>
              <w:autoSpaceDN w:val="0"/>
              <w:jc w:val="both"/>
              <w:rPr>
                <w:rFonts w:ascii="Arial Narrow" w:hAnsi="Arial Narrow"/>
                <w:b/>
                <w:sz w:val="22"/>
                <w:szCs w:val="22"/>
                <w:lang w:bidi="bn-IN"/>
              </w:rPr>
            </w:pPr>
            <w:r w:rsidRPr="00AC163E">
              <w:rPr>
                <w:rFonts w:ascii="Arial Narrow" w:hAnsi="Arial Narrow"/>
                <w:b/>
                <w:sz w:val="22"/>
                <w:szCs w:val="22"/>
                <w:lang w:bidi="bn-IN"/>
              </w:rPr>
              <w:t xml:space="preserve">                            Année</w:t>
            </w:r>
          </w:p>
          <w:p w:rsidR="00F20EB0" w:rsidRPr="00AC163E" w:rsidRDefault="00F20EB0" w:rsidP="00AC163E">
            <w:pPr>
              <w:autoSpaceDE w:val="0"/>
              <w:autoSpaceDN w:val="0"/>
              <w:jc w:val="both"/>
              <w:rPr>
                <w:rFonts w:ascii="Arial Narrow" w:hAnsi="Arial Narrow"/>
                <w:b/>
                <w:sz w:val="22"/>
                <w:szCs w:val="22"/>
                <w:lang w:bidi="bn-IN"/>
              </w:rPr>
            </w:pPr>
            <w:r w:rsidRPr="00AC163E">
              <w:rPr>
                <w:rFonts w:ascii="Arial Narrow" w:hAnsi="Arial Narrow"/>
                <w:b/>
                <w:sz w:val="22"/>
                <w:szCs w:val="22"/>
                <w:lang w:bidi="bn-IN"/>
              </w:rPr>
              <w:t>Valeurs</w:t>
            </w:r>
          </w:p>
        </w:tc>
        <w:tc>
          <w:tcPr>
            <w:tcW w:w="0" w:type="auto"/>
            <w:gridSpan w:val="2"/>
            <w:tcBorders>
              <w:top w:val="single" w:sz="12" w:space="0" w:color="auto"/>
              <w:left w:val="single" w:sz="12" w:space="0" w:color="auto"/>
              <w:right w:val="single" w:sz="12" w:space="0" w:color="auto"/>
            </w:tcBorders>
            <w:shd w:val="pct5" w:color="auto" w:fill="auto"/>
            <w:vAlign w:val="center"/>
          </w:tcPr>
          <w:p w:rsidR="00F20EB0" w:rsidRPr="00AC163E" w:rsidRDefault="00F20EB0" w:rsidP="00AC163E">
            <w:pPr>
              <w:autoSpaceDE w:val="0"/>
              <w:autoSpaceDN w:val="0"/>
              <w:jc w:val="center"/>
              <w:rPr>
                <w:rFonts w:ascii="Arial Narrow" w:hAnsi="Arial Narrow"/>
                <w:b/>
                <w:sz w:val="22"/>
                <w:szCs w:val="22"/>
                <w:lang w:bidi="bn-IN"/>
              </w:rPr>
            </w:pPr>
            <w:r w:rsidRPr="00AC163E">
              <w:rPr>
                <w:rFonts w:ascii="Arial Narrow" w:hAnsi="Arial Narrow"/>
                <w:b/>
                <w:sz w:val="22"/>
                <w:szCs w:val="22"/>
                <w:lang w:bidi="bn-IN"/>
              </w:rPr>
              <w:t>2007</w:t>
            </w:r>
          </w:p>
        </w:tc>
        <w:tc>
          <w:tcPr>
            <w:tcW w:w="0" w:type="auto"/>
            <w:gridSpan w:val="2"/>
            <w:tcBorders>
              <w:top w:val="single" w:sz="12" w:space="0" w:color="auto"/>
              <w:left w:val="single" w:sz="12" w:space="0" w:color="auto"/>
              <w:right w:val="single" w:sz="12" w:space="0" w:color="auto"/>
            </w:tcBorders>
            <w:shd w:val="pct5" w:color="auto" w:fill="auto"/>
            <w:vAlign w:val="center"/>
          </w:tcPr>
          <w:p w:rsidR="00F20EB0" w:rsidRPr="00AC163E" w:rsidRDefault="00F20EB0" w:rsidP="00AC163E">
            <w:pPr>
              <w:autoSpaceDE w:val="0"/>
              <w:autoSpaceDN w:val="0"/>
              <w:jc w:val="center"/>
              <w:rPr>
                <w:rFonts w:ascii="Arial Narrow" w:hAnsi="Arial Narrow"/>
                <w:b/>
                <w:sz w:val="22"/>
                <w:szCs w:val="22"/>
                <w:lang w:bidi="bn-IN"/>
              </w:rPr>
            </w:pPr>
            <w:r w:rsidRPr="00AC163E">
              <w:rPr>
                <w:rFonts w:ascii="Arial Narrow" w:hAnsi="Arial Narrow"/>
                <w:b/>
                <w:sz w:val="22"/>
                <w:szCs w:val="22"/>
                <w:lang w:bidi="bn-IN"/>
              </w:rPr>
              <w:t>2010</w:t>
            </w:r>
          </w:p>
        </w:tc>
      </w:tr>
      <w:tr w:rsidR="00F20EB0" w:rsidRPr="00AC163E" w:rsidTr="00794156">
        <w:trPr>
          <w:tblHeader/>
        </w:trPr>
        <w:tc>
          <w:tcPr>
            <w:tcW w:w="0" w:type="auto"/>
            <w:vMerge/>
            <w:tcBorders>
              <w:left w:val="single" w:sz="12" w:space="0" w:color="auto"/>
              <w:right w:val="single" w:sz="12" w:space="0" w:color="auto"/>
              <w:tl2br w:val="single" w:sz="4" w:space="0" w:color="auto"/>
            </w:tcBorders>
          </w:tcPr>
          <w:p w:rsidR="00F20EB0" w:rsidRPr="00AC163E" w:rsidRDefault="00F20EB0" w:rsidP="00AC163E">
            <w:pPr>
              <w:autoSpaceDE w:val="0"/>
              <w:autoSpaceDN w:val="0"/>
              <w:jc w:val="both"/>
              <w:rPr>
                <w:rFonts w:ascii="Arial Narrow" w:hAnsi="Arial Narrow"/>
                <w:sz w:val="22"/>
                <w:szCs w:val="22"/>
                <w:lang w:bidi="bn-IN"/>
              </w:rPr>
            </w:pPr>
          </w:p>
        </w:tc>
        <w:tc>
          <w:tcPr>
            <w:tcW w:w="0" w:type="auto"/>
            <w:tcBorders>
              <w:left w:val="single" w:sz="12" w:space="0" w:color="auto"/>
            </w:tcBorders>
            <w:vAlign w:val="center"/>
          </w:tcPr>
          <w:p w:rsidR="00F20EB0" w:rsidRPr="00AC163E" w:rsidRDefault="00F20EB0"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Important</w:t>
            </w:r>
          </w:p>
        </w:tc>
        <w:tc>
          <w:tcPr>
            <w:tcW w:w="0" w:type="auto"/>
            <w:tcBorders>
              <w:right w:val="single" w:sz="12" w:space="0" w:color="auto"/>
            </w:tcBorders>
            <w:vAlign w:val="center"/>
          </w:tcPr>
          <w:p w:rsidR="00F20EB0" w:rsidRPr="00AC163E" w:rsidRDefault="00F20EB0"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Pas important</w:t>
            </w:r>
          </w:p>
        </w:tc>
        <w:tc>
          <w:tcPr>
            <w:tcW w:w="0" w:type="auto"/>
            <w:tcBorders>
              <w:left w:val="single" w:sz="12" w:space="0" w:color="auto"/>
            </w:tcBorders>
            <w:vAlign w:val="center"/>
          </w:tcPr>
          <w:p w:rsidR="00F20EB0" w:rsidRPr="00AC163E" w:rsidRDefault="00F20EB0"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Important</w:t>
            </w:r>
          </w:p>
        </w:tc>
        <w:tc>
          <w:tcPr>
            <w:tcW w:w="0" w:type="auto"/>
            <w:tcBorders>
              <w:right w:val="single" w:sz="12" w:space="0" w:color="auto"/>
            </w:tcBorders>
            <w:vAlign w:val="center"/>
          </w:tcPr>
          <w:p w:rsidR="00F20EB0" w:rsidRPr="00AC163E" w:rsidRDefault="00F20EB0"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Pas important</w:t>
            </w:r>
          </w:p>
        </w:tc>
      </w:tr>
      <w:tr w:rsidR="0086234D" w:rsidRPr="00AC163E" w:rsidTr="00794156">
        <w:trPr>
          <w:tblHeader/>
        </w:trPr>
        <w:tc>
          <w:tcPr>
            <w:tcW w:w="0" w:type="auto"/>
            <w:tcBorders>
              <w:left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Famille </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99%</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99%</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w:t>
            </w:r>
          </w:p>
        </w:tc>
      </w:tr>
      <w:tr w:rsidR="0086234D" w:rsidRPr="00AC163E" w:rsidTr="00794156">
        <w:trPr>
          <w:tblHeader/>
        </w:trPr>
        <w:tc>
          <w:tcPr>
            <w:tcW w:w="0" w:type="auto"/>
            <w:tcBorders>
              <w:left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Amis </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90%</w:t>
            </w:r>
          </w:p>
        </w:tc>
        <w:tc>
          <w:tcPr>
            <w:tcW w:w="0" w:type="auto"/>
            <w:tcBorders>
              <w:right w:val="single" w:sz="12" w:space="0" w:color="auto"/>
            </w:tcBorders>
            <w:vAlign w:val="center"/>
          </w:tcPr>
          <w:p w:rsidR="0086234D" w:rsidRPr="00AC163E" w:rsidRDefault="0086234D" w:rsidP="00AC163E">
            <w:pPr>
              <w:pStyle w:val="Pieddepage"/>
              <w:tabs>
                <w:tab w:val="clear" w:pos="4320"/>
                <w:tab w:val="clear" w:pos="8640"/>
              </w:tabs>
              <w:jc w:val="center"/>
              <w:rPr>
                <w:rFonts w:ascii="Arial Narrow" w:eastAsia="Times New Roman" w:hAnsi="Arial Narrow"/>
                <w:sz w:val="22"/>
                <w:szCs w:val="22"/>
                <w:lang w:val="fr-FR" w:eastAsia="en-US"/>
              </w:rPr>
            </w:pPr>
            <w:r w:rsidRPr="00AC163E">
              <w:rPr>
                <w:rFonts w:ascii="Arial Narrow" w:eastAsia="Times New Roman" w:hAnsi="Arial Narrow"/>
                <w:sz w:val="22"/>
                <w:szCs w:val="22"/>
                <w:lang w:val="fr-FR" w:eastAsia="en-US"/>
              </w:rPr>
              <w:t>9</w:t>
            </w:r>
            <w:r w:rsidRPr="00AC163E">
              <w:rPr>
                <w:rFonts w:ascii="Arial Narrow" w:hAnsi="Arial Narrow"/>
                <w:sz w:val="22"/>
                <w:szCs w:val="22"/>
                <w:lang w:val="fr-FR" w:bidi="bn-IN"/>
              </w:rPr>
              <w:t>%</w:t>
            </w:r>
          </w:p>
        </w:tc>
        <w:tc>
          <w:tcPr>
            <w:tcW w:w="0" w:type="auto"/>
            <w:tcBorders>
              <w:left w:val="single" w:sz="12" w:space="0" w:color="auto"/>
            </w:tcBorders>
            <w:vAlign w:val="center"/>
          </w:tcPr>
          <w:p w:rsidR="0086234D" w:rsidRPr="00AC163E" w:rsidRDefault="0086234D" w:rsidP="00AC163E">
            <w:pPr>
              <w:pStyle w:val="Pieddepage"/>
              <w:tabs>
                <w:tab w:val="clear" w:pos="4320"/>
                <w:tab w:val="clear" w:pos="8640"/>
              </w:tabs>
              <w:jc w:val="center"/>
              <w:rPr>
                <w:rFonts w:ascii="Arial Narrow" w:eastAsia="Times New Roman" w:hAnsi="Arial Narrow"/>
                <w:sz w:val="22"/>
                <w:szCs w:val="22"/>
                <w:lang w:val="fr-FR" w:eastAsia="en-US"/>
              </w:rPr>
            </w:pPr>
            <w:r w:rsidRPr="00AC163E">
              <w:rPr>
                <w:rFonts w:ascii="Arial Narrow" w:eastAsia="Times New Roman" w:hAnsi="Arial Narrow"/>
                <w:sz w:val="22"/>
                <w:szCs w:val="22"/>
                <w:lang w:val="fr-FR" w:eastAsia="en-US"/>
              </w:rPr>
              <w:t>95%</w:t>
            </w:r>
          </w:p>
        </w:tc>
        <w:tc>
          <w:tcPr>
            <w:tcW w:w="0" w:type="auto"/>
            <w:tcBorders>
              <w:right w:val="single" w:sz="12" w:space="0" w:color="auto"/>
            </w:tcBorders>
            <w:vAlign w:val="center"/>
          </w:tcPr>
          <w:p w:rsidR="0086234D" w:rsidRPr="00AC163E" w:rsidRDefault="0086234D" w:rsidP="00AC163E">
            <w:pPr>
              <w:pStyle w:val="Pieddepage"/>
              <w:tabs>
                <w:tab w:val="clear" w:pos="4320"/>
                <w:tab w:val="clear" w:pos="8640"/>
              </w:tabs>
              <w:jc w:val="center"/>
              <w:rPr>
                <w:rFonts w:ascii="Arial Narrow" w:eastAsia="Times New Roman" w:hAnsi="Arial Narrow"/>
                <w:sz w:val="22"/>
                <w:szCs w:val="22"/>
                <w:lang w:val="fr-FR" w:eastAsia="en-US"/>
              </w:rPr>
            </w:pPr>
            <w:r w:rsidRPr="00AC163E">
              <w:rPr>
                <w:rFonts w:ascii="Arial Narrow" w:hAnsi="Arial Narrow"/>
                <w:sz w:val="22"/>
                <w:szCs w:val="22"/>
                <w:lang w:bidi="bn-IN"/>
              </w:rPr>
              <w:t>5%</w:t>
            </w:r>
          </w:p>
        </w:tc>
      </w:tr>
      <w:tr w:rsidR="0086234D" w:rsidRPr="00AC163E" w:rsidTr="00794156">
        <w:trPr>
          <w:tblHeader/>
        </w:trPr>
        <w:tc>
          <w:tcPr>
            <w:tcW w:w="0" w:type="auto"/>
            <w:tcBorders>
              <w:left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Temps libre (loisirs en 2010)</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55%</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40%</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66%</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33%</w:t>
            </w:r>
          </w:p>
        </w:tc>
      </w:tr>
      <w:tr w:rsidR="0086234D" w:rsidRPr="00AC163E" w:rsidTr="00794156">
        <w:trPr>
          <w:tblHeader/>
        </w:trPr>
        <w:tc>
          <w:tcPr>
            <w:tcW w:w="0" w:type="auto"/>
            <w:tcBorders>
              <w:left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La politique </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45%</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48%</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45%</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51%</w:t>
            </w:r>
          </w:p>
        </w:tc>
      </w:tr>
      <w:tr w:rsidR="0086234D" w:rsidRPr="00AC163E" w:rsidTr="00794156">
        <w:trPr>
          <w:tblHeader/>
        </w:trPr>
        <w:tc>
          <w:tcPr>
            <w:tcW w:w="0" w:type="auto"/>
            <w:tcBorders>
              <w:left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Travail </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97%</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w:t>
            </w:r>
          </w:p>
        </w:tc>
        <w:tc>
          <w:tcPr>
            <w:tcW w:w="0" w:type="auto"/>
            <w:tcBorders>
              <w:lef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99%</w:t>
            </w:r>
          </w:p>
        </w:tc>
        <w:tc>
          <w:tcPr>
            <w:tcW w:w="0" w:type="auto"/>
            <w:tcBorders>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w:t>
            </w:r>
          </w:p>
        </w:tc>
      </w:tr>
      <w:tr w:rsidR="0086234D" w:rsidRPr="00AC163E" w:rsidTr="00794156">
        <w:trPr>
          <w:tblHeader/>
        </w:trPr>
        <w:tc>
          <w:tcPr>
            <w:tcW w:w="0" w:type="auto"/>
            <w:tcBorders>
              <w:left w:val="single" w:sz="12" w:space="0" w:color="auto"/>
              <w:bottom w:val="single" w:sz="12" w:space="0" w:color="auto"/>
              <w:right w:val="single" w:sz="12" w:space="0" w:color="auto"/>
            </w:tcBorders>
          </w:tcPr>
          <w:p w:rsidR="0086234D" w:rsidRPr="00AC163E" w:rsidRDefault="0086234D"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Religion </w:t>
            </w:r>
          </w:p>
        </w:tc>
        <w:tc>
          <w:tcPr>
            <w:tcW w:w="0" w:type="auto"/>
            <w:tcBorders>
              <w:left w:val="single" w:sz="12" w:space="0" w:color="auto"/>
              <w:bottom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95%</w:t>
            </w:r>
          </w:p>
        </w:tc>
        <w:tc>
          <w:tcPr>
            <w:tcW w:w="0" w:type="auto"/>
            <w:tcBorders>
              <w:bottom w:val="single" w:sz="12" w:space="0" w:color="auto"/>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w:t>
            </w:r>
          </w:p>
        </w:tc>
        <w:tc>
          <w:tcPr>
            <w:tcW w:w="0" w:type="auto"/>
            <w:tcBorders>
              <w:left w:val="single" w:sz="12" w:space="0" w:color="auto"/>
              <w:bottom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99%</w:t>
            </w:r>
          </w:p>
        </w:tc>
        <w:tc>
          <w:tcPr>
            <w:tcW w:w="0" w:type="auto"/>
            <w:tcBorders>
              <w:bottom w:val="single" w:sz="12" w:space="0" w:color="auto"/>
              <w:right w:val="single" w:sz="12" w:space="0" w:color="auto"/>
            </w:tcBorders>
            <w:vAlign w:val="center"/>
          </w:tcPr>
          <w:p w:rsidR="0086234D" w:rsidRPr="00AC163E" w:rsidRDefault="0086234D"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w:t>
            </w:r>
          </w:p>
        </w:tc>
      </w:tr>
    </w:tbl>
    <w:p w:rsidR="00145F6B" w:rsidRPr="00AC163E" w:rsidRDefault="00D915BB" w:rsidP="00AC163E">
      <w:pPr>
        <w:spacing w:before="240"/>
        <w:rPr>
          <w:rFonts w:ascii="Arial Narrow" w:hAnsi="Arial Narrow"/>
          <w:b/>
          <w:sz w:val="22"/>
          <w:szCs w:val="22"/>
          <w:u w:val="single"/>
          <w:lang w:bidi="bn-IN"/>
        </w:rPr>
      </w:pPr>
      <w:r w:rsidRPr="00AC163E">
        <w:rPr>
          <w:rFonts w:ascii="Arial Narrow" w:hAnsi="Arial Narrow"/>
          <w:b/>
          <w:sz w:val="22"/>
          <w:szCs w:val="22"/>
          <w:u w:val="single"/>
          <w:lang w:bidi="bn-IN"/>
        </w:rPr>
        <w:t>Source: Enquêtes World Values Survey 2007 et CGD 2010.</w:t>
      </w:r>
    </w:p>
    <w:p w:rsidR="00145F6B" w:rsidRPr="00AC163E" w:rsidRDefault="00145F6B" w:rsidP="00AC163E">
      <w:pPr>
        <w:spacing w:before="240"/>
        <w:jc w:val="center"/>
        <w:rPr>
          <w:rFonts w:ascii="Arial Narrow" w:hAnsi="Arial Narrow"/>
          <w:b/>
          <w:u w:val="single"/>
          <w:lang w:bidi="bn-IN"/>
        </w:rPr>
      </w:pPr>
    </w:p>
    <w:p w:rsidR="00621E1C" w:rsidRPr="00AC163E" w:rsidRDefault="00B035A7" w:rsidP="00AC163E">
      <w:pPr>
        <w:numPr>
          <w:ilvl w:val="0"/>
          <w:numId w:val="10"/>
        </w:numPr>
        <w:autoSpaceDE w:val="0"/>
        <w:autoSpaceDN w:val="0"/>
        <w:ind w:hanging="218"/>
        <w:jc w:val="both"/>
        <w:rPr>
          <w:rFonts w:ascii="Arial Narrow" w:hAnsi="Arial Narrow"/>
          <w:b/>
          <w:bCs/>
          <w:u w:val="single"/>
        </w:rPr>
      </w:pPr>
      <w:r w:rsidRPr="00AC163E">
        <w:rPr>
          <w:rFonts w:ascii="Arial Narrow" w:hAnsi="Arial Narrow"/>
          <w:b/>
          <w:bCs/>
          <w:u w:val="single"/>
        </w:rPr>
        <w:t xml:space="preserve">La tolérance religieuse chez les </w:t>
      </w:r>
      <w:r w:rsidR="000520E2" w:rsidRPr="00AC163E">
        <w:rPr>
          <w:rFonts w:ascii="Arial Narrow" w:hAnsi="Arial Narrow"/>
          <w:b/>
          <w:bCs/>
          <w:u w:val="single"/>
        </w:rPr>
        <w:t>B</w:t>
      </w:r>
      <w:r w:rsidRPr="00AC163E">
        <w:rPr>
          <w:rFonts w:ascii="Arial Narrow" w:hAnsi="Arial Narrow"/>
          <w:b/>
          <w:bCs/>
          <w:u w:val="single"/>
        </w:rPr>
        <w:t>urkinabè</w:t>
      </w:r>
      <w:r w:rsidR="00714ED6" w:rsidRPr="00AC163E">
        <w:rPr>
          <w:rFonts w:ascii="Arial Narrow" w:hAnsi="Arial Narrow"/>
          <w:b/>
          <w:bCs/>
          <w:u w:val="single"/>
        </w:rPr>
        <w:t> :</w:t>
      </w:r>
      <w:r w:rsidRPr="00AC163E">
        <w:rPr>
          <w:rFonts w:ascii="Arial Narrow" w:hAnsi="Arial Narrow"/>
          <w:b/>
          <w:bCs/>
          <w:u w:val="single"/>
        </w:rPr>
        <w:t xml:space="preserve"> une tendance à la baisse</w:t>
      </w:r>
    </w:p>
    <w:p w:rsidR="00B341FE" w:rsidRPr="00AC163E" w:rsidRDefault="00B341FE" w:rsidP="00AC163E">
      <w:pPr>
        <w:autoSpaceDE w:val="0"/>
        <w:autoSpaceDN w:val="0"/>
        <w:spacing w:before="240"/>
        <w:ind w:firstLine="567"/>
        <w:jc w:val="both"/>
        <w:rPr>
          <w:rFonts w:ascii="Arial Narrow" w:hAnsi="Arial Narrow"/>
          <w:bCs/>
        </w:rPr>
      </w:pPr>
      <w:r w:rsidRPr="00AC163E">
        <w:rPr>
          <w:rFonts w:ascii="Arial Narrow" w:hAnsi="Arial Narrow"/>
          <w:bCs/>
        </w:rPr>
        <w:t>Si la grande majorité des Burkinabè sont des pratiquants</w:t>
      </w:r>
      <w:r w:rsidR="00563E39">
        <w:rPr>
          <w:rFonts w:ascii="Arial Narrow" w:hAnsi="Arial Narrow"/>
          <w:bCs/>
        </w:rPr>
        <w:t>,</w:t>
      </w:r>
      <w:r w:rsidRPr="00AC163E">
        <w:rPr>
          <w:rFonts w:ascii="Arial Narrow" w:hAnsi="Arial Narrow"/>
          <w:bCs/>
        </w:rPr>
        <w:t xml:space="preserve"> sont-ils pour autant tolérants les uns envers les autres? On peut y répondre par l'affirmative. En effet, seule une minorité de Burkinabè souhaite ne pas avoir comme voisins des gens d'une religion différente. Toutefois, on peut regretter que cette proportion soit passée de 12% en </w:t>
      </w:r>
      <w:r w:rsidRPr="00AC163E">
        <w:rPr>
          <w:rFonts w:ascii="Arial Narrow" w:hAnsi="Arial Narrow"/>
          <w:bCs/>
        </w:rPr>
        <w:lastRenderedPageBreak/>
        <w:t xml:space="preserve">2007 (enquête réalisée par World Values Survey) à 21% en 2010 (enquête réalisée par le CGD). Ce qui témoigne tout de même d'une certaine détérioration des valeurs de tolérance religieuse dans notre pays. </w:t>
      </w:r>
    </w:p>
    <w:p w:rsidR="00F319D3" w:rsidRPr="00AC163E" w:rsidRDefault="00F319D3" w:rsidP="00AC163E">
      <w:pPr>
        <w:spacing w:before="240"/>
        <w:jc w:val="both"/>
        <w:rPr>
          <w:rFonts w:ascii="Arial Narrow" w:hAnsi="Arial Narrow"/>
          <w:b/>
          <w:sz w:val="22"/>
          <w:szCs w:val="22"/>
          <w:lang w:bidi="bn-IN"/>
        </w:rPr>
      </w:pPr>
      <w:r w:rsidRPr="00AC163E">
        <w:rPr>
          <w:rFonts w:ascii="Arial Narrow" w:hAnsi="Arial Narrow"/>
          <w:b/>
          <w:sz w:val="22"/>
          <w:szCs w:val="22"/>
          <w:u w:val="single"/>
          <w:lang w:bidi="bn-IN"/>
        </w:rPr>
        <w:t>Tableau n°</w:t>
      </w:r>
      <w:r w:rsidR="00D915BB" w:rsidRPr="00AC163E">
        <w:rPr>
          <w:rFonts w:ascii="Arial Narrow" w:hAnsi="Arial Narrow"/>
          <w:b/>
          <w:sz w:val="22"/>
          <w:szCs w:val="22"/>
          <w:u w:val="single"/>
          <w:lang w:bidi="bn-IN"/>
        </w:rPr>
        <w:t>2</w:t>
      </w:r>
      <w:r w:rsidR="00145F6B" w:rsidRPr="00AC163E">
        <w:rPr>
          <w:rFonts w:ascii="Arial Narrow" w:hAnsi="Arial Narrow"/>
          <w:b/>
          <w:sz w:val="22"/>
          <w:szCs w:val="22"/>
          <w:lang w:bidi="bn-IN"/>
        </w:rPr>
        <w:t xml:space="preserve"> </w:t>
      </w:r>
      <w:r w:rsidRPr="00AC163E">
        <w:rPr>
          <w:rFonts w:ascii="Arial Narrow" w:hAnsi="Arial Narrow"/>
          <w:b/>
          <w:sz w:val="22"/>
          <w:szCs w:val="22"/>
          <w:lang w:bidi="bn-IN"/>
        </w:rPr>
        <w:t xml:space="preserve">: </w:t>
      </w:r>
      <w:r w:rsidRPr="00AC163E">
        <w:rPr>
          <w:rFonts w:ascii="Arial Narrow" w:hAnsi="Arial Narrow"/>
          <w:b/>
          <w:sz w:val="22"/>
          <w:szCs w:val="22"/>
        </w:rPr>
        <w:t>Tolérance envers les voisins</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1928"/>
        <w:gridCol w:w="1415"/>
        <w:gridCol w:w="1913"/>
        <w:gridCol w:w="1413"/>
      </w:tblGrid>
      <w:tr w:rsidR="00145F6B" w:rsidRPr="00AC163E" w:rsidTr="00794156">
        <w:trPr>
          <w:jc w:val="center"/>
        </w:trPr>
        <w:tc>
          <w:tcPr>
            <w:tcW w:w="1852" w:type="pct"/>
            <w:vMerge w:val="restart"/>
            <w:tcBorders>
              <w:top w:val="single" w:sz="12" w:space="0" w:color="auto"/>
              <w:left w:val="single" w:sz="12" w:space="0" w:color="auto"/>
              <w:right w:val="single" w:sz="12" w:space="0" w:color="auto"/>
              <w:tl2br w:val="single" w:sz="4" w:space="0" w:color="auto"/>
            </w:tcBorders>
          </w:tcPr>
          <w:p w:rsidR="00145F6B" w:rsidRPr="00AC163E" w:rsidRDefault="00F20EB0" w:rsidP="00AC163E">
            <w:pPr>
              <w:rPr>
                <w:rFonts w:ascii="Arial Narrow" w:hAnsi="Arial Narrow"/>
                <w:b/>
                <w:sz w:val="22"/>
                <w:szCs w:val="22"/>
              </w:rPr>
            </w:pPr>
            <w:r w:rsidRPr="00AC163E">
              <w:rPr>
                <w:rFonts w:ascii="Arial Narrow" w:hAnsi="Arial Narrow"/>
                <w:b/>
                <w:sz w:val="22"/>
                <w:szCs w:val="22"/>
              </w:rPr>
              <w:t xml:space="preserve">                                             Année</w:t>
            </w:r>
          </w:p>
          <w:p w:rsidR="00F20EB0" w:rsidRPr="00AC163E" w:rsidRDefault="00F20EB0" w:rsidP="00AC163E">
            <w:pPr>
              <w:rPr>
                <w:rFonts w:ascii="Arial Narrow" w:hAnsi="Arial Narrow"/>
                <w:b/>
                <w:sz w:val="22"/>
                <w:szCs w:val="22"/>
              </w:rPr>
            </w:pPr>
          </w:p>
          <w:p w:rsidR="00F20EB0" w:rsidRPr="00AC163E" w:rsidRDefault="00F20EB0" w:rsidP="00AC163E">
            <w:pPr>
              <w:rPr>
                <w:rFonts w:ascii="Arial Narrow" w:hAnsi="Arial Narrow"/>
                <w:b/>
                <w:sz w:val="22"/>
                <w:szCs w:val="22"/>
              </w:rPr>
            </w:pPr>
          </w:p>
          <w:p w:rsidR="00F20EB0" w:rsidRPr="00AC163E" w:rsidRDefault="00F20EB0" w:rsidP="00AC163E">
            <w:pPr>
              <w:rPr>
                <w:rFonts w:ascii="Arial Narrow" w:hAnsi="Arial Narrow"/>
                <w:b/>
                <w:sz w:val="22"/>
                <w:szCs w:val="22"/>
              </w:rPr>
            </w:pPr>
            <w:r w:rsidRPr="00AC163E">
              <w:rPr>
                <w:rFonts w:ascii="Arial Narrow" w:hAnsi="Arial Narrow"/>
                <w:b/>
                <w:sz w:val="22"/>
                <w:szCs w:val="22"/>
              </w:rPr>
              <w:t>Type de voisins</w:t>
            </w:r>
          </w:p>
        </w:tc>
        <w:tc>
          <w:tcPr>
            <w:tcW w:w="1578" w:type="pct"/>
            <w:gridSpan w:val="2"/>
            <w:tcBorders>
              <w:top w:val="single" w:sz="12" w:space="0" w:color="auto"/>
              <w:left w:val="single" w:sz="12" w:space="0" w:color="auto"/>
              <w:bottom w:val="single" w:sz="6" w:space="0" w:color="auto"/>
              <w:right w:val="single" w:sz="12" w:space="0" w:color="auto"/>
            </w:tcBorders>
            <w:shd w:val="pct5" w:color="auto" w:fill="auto"/>
          </w:tcPr>
          <w:p w:rsidR="00145F6B" w:rsidRPr="00AC163E" w:rsidRDefault="00145F6B" w:rsidP="00AC163E">
            <w:pPr>
              <w:jc w:val="center"/>
              <w:rPr>
                <w:rFonts w:ascii="Arial Narrow" w:hAnsi="Arial Narrow"/>
                <w:b/>
                <w:sz w:val="22"/>
                <w:szCs w:val="22"/>
              </w:rPr>
            </w:pPr>
            <w:r w:rsidRPr="00AC163E">
              <w:rPr>
                <w:rFonts w:ascii="Arial Narrow" w:hAnsi="Arial Narrow"/>
                <w:b/>
                <w:sz w:val="22"/>
                <w:szCs w:val="22"/>
              </w:rPr>
              <w:t>2007</w:t>
            </w:r>
          </w:p>
        </w:tc>
        <w:tc>
          <w:tcPr>
            <w:tcW w:w="1570" w:type="pct"/>
            <w:gridSpan w:val="2"/>
            <w:tcBorders>
              <w:top w:val="single" w:sz="12" w:space="0" w:color="auto"/>
              <w:left w:val="single" w:sz="12" w:space="0" w:color="auto"/>
              <w:bottom w:val="single" w:sz="6" w:space="0" w:color="auto"/>
              <w:right w:val="single" w:sz="12" w:space="0" w:color="auto"/>
            </w:tcBorders>
            <w:shd w:val="pct5" w:color="auto" w:fill="auto"/>
          </w:tcPr>
          <w:p w:rsidR="00145F6B" w:rsidRPr="00AC163E" w:rsidRDefault="00145F6B" w:rsidP="00AC163E">
            <w:pPr>
              <w:jc w:val="center"/>
              <w:rPr>
                <w:rFonts w:ascii="Arial Narrow" w:hAnsi="Arial Narrow"/>
                <w:b/>
                <w:sz w:val="22"/>
                <w:szCs w:val="22"/>
              </w:rPr>
            </w:pPr>
            <w:r w:rsidRPr="00AC163E">
              <w:rPr>
                <w:rFonts w:ascii="Arial Narrow" w:hAnsi="Arial Narrow"/>
                <w:b/>
                <w:sz w:val="22"/>
                <w:szCs w:val="22"/>
              </w:rPr>
              <w:t>2010</w:t>
            </w:r>
          </w:p>
        </w:tc>
      </w:tr>
      <w:tr w:rsidR="00145F6B" w:rsidRPr="00AC163E" w:rsidTr="00794156">
        <w:trPr>
          <w:trHeight w:val="1092"/>
          <w:jc w:val="center"/>
        </w:trPr>
        <w:tc>
          <w:tcPr>
            <w:tcW w:w="1852" w:type="pct"/>
            <w:vMerge/>
            <w:tcBorders>
              <w:left w:val="single" w:sz="12" w:space="0" w:color="auto"/>
              <w:right w:val="single" w:sz="12" w:space="0" w:color="auto"/>
              <w:tl2br w:val="single" w:sz="4" w:space="0" w:color="auto"/>
            </w:tcBorders>
          </w:tcPr>
          <w:p w:rsidR="00145F6B" w:rsidRPr="00AC163E" w:rsidRDefault="00145F6B" w:rsidP="00AC163E">
            <w:pPr>
              <w:jc w:val="both"/>
              <w:rPr>
                <w:rFonts w:ascii="Arial Narrow" w:hAnsi="Arial Narrow"/>
                <w:sz w:val="22"/>
                <w:szCs w:val="22"/>
              </w:rPr>
            </w:pPr>
          </w:p>
        </w:tc>
        <w:tc>
          <w:tcPr>
            <w:tcW w:w="910" w:type="pct"/>
            <w:tcBorders>
              <w:top w:val="single" w:sz="6" w:space="0" w:color="auto"/>
              <w:left w:val="single" w:sz="12" w:space="0" w:color="auto"/>
            </w:tcBorders>
            <w:vAlign w:val="center"/>
          </w:tcPr>
          <w:p w:rsidR="00145F6B" w:rsidRPr="00AC163E" w:rsidRDefault="00145F6B" w:rsidP="00AC163E">
            <w:pPr>
              <w:pStyle w:val="Titre4"/>
              <w:tabs>
                <w:tab w:val="clear" w:pos="7200"/>
                <w:tab w:val="clear" w:pos="8640"/>
              </w:tabs>
              <w:jc w:val="center"/>
              <w:rPr>
                <w:rFonts w:ascii="Arial Narrow" w:hAnsi="Arial Narrow"/>
                <w:i/>
                <w:sz w:val="22"/>
                <w:szCs w:val="22"/>
                <w:lang w:val="fr-FR"/>
              </w:rPr>
            </w:pPr>
            <w:r w:rsidRPr="00AC163E">
              <w:rPr>
                <w:rFonts w:ascii="Arial Narrow" w:hAnsi="Arial Narrow"/>
                <w:i/>
                <w:sz w:val="22"/>
                <w:szCs w:val="22"/>
                <w:lang w:val="fr-FR"/>
              </w:rPr>
              <w:t>Mentionné (n'aimerait pas avoir pour voisin)</w:t>
            </w:r>
          </w:p>
        </w:tc>
        <w:tc>
          <w:tcPr>
            <w:tcW w:w="668" w:type="pct"/>
            <w:tcBorders>
              <w:top w:val="single" w:sz="6" w:space="0" w:color="auto"/>
              <w:right w:val="single" w:sz="12" w:space="0" w:color="auto"/>
            </w:tcBorders>
            <w:vAlign w:val="center"/>
          </w:tcPr>
          <w:p w:rsidR="00145F6B" w:rsidRPr="00AC163E" w:rsidRDefault="00145F6B" w:rsidP="00AC163E">
            <w:pPr>
              <w:jc w:val="center"/>
              <w:rPr>
                <w:rFonts w:ascii="Arial Narrow" w:hAnsi="Arial Narrow"/>
                <w:b/>
                <w:i/>
                <w:sz w:val="22"/>
                <w:szCs w:val="22"/>
              </w:rPr>
            </w:pPr>
            <w:r w:rsidRPr="00AC163E">
              <w:rPr>
                <w:rFonts w:ascii="Arial Narrow" w:hAnsi="Arial Narrow"/>
                <w:b/>
                <w:i/>
                <w:sz w:val="22"/>
                <w:szCs w:val="22"/>
              </w:rPr>
              <w:t>Non mentionné</w:t>
            </w:r>
          </w:p>
        </w:tc>
        <w:tc>
          <w:tcPr>
            <w:tcW w:w="903" w:type="pct"/>
            <w:tcBorders>
              <w:top w:val="single" w:sz="6" w:space="0" w:color="auto"/>
              <w:left w:val="single" w:sz="12" w:space="0" w:color="auto"/>
            </w:tcBorders>
            <w:vAlign w:val="center"/>
          </w:tcPr>
          <w:p w:rsidR="00145F6B" w:rsidRPr="00AC163E" w:rsidRDefault="00145F6B" w:rsidP="00AC163E">
            <w:pPr>
              <w:pStyle w:val="Titre4"/>
              <w:tabs>
                <w:tab w:val="clear" w:pos="7200"/>
                <w:tab w:val="clear" w:pos="8640"/>
              </w:tabs>
              <w:jc w:val="center"/>
              <w:rPr>
                <w:rFonts w:ascii="Arial Narrow" w:hAnsi="Arial Narrow"/>
                <w:i/>
                <w:sz w:val="22"/>
                <w:szCs w:val="22"/>
                <w:lang w:val="fr-FR"/>
              </w:rPr>
            </w:pPr>
            <w:r w:rsidRPr="00AC163E">
              <w:rPr>
                <w:rFonts w:ascii="Arial Narrow" w:hAnsi="Arial Narrow"/>
                <w:i/>
                <w:sz w:val="22"/>
                <w:szCs w:val="22"/>
                <w:lang w:val="fr-FR"/>
              </w:rPr>
              <w:t>Mentionné (n'aimerait pas avoir pour voisin)</w:t>
            </w:r>
          </w:p>
        </w:tc>
        <w:tc>
          <w:tcPr>
            <w:tcW w:w="667" w:type="pct"/>
            <w:tcBorders>
              <w:top w:val="single" w:sz="6" w:space="0" w:color="auto"/>
              <w:right w:val="single" w:sz="12" w:space="0" w:color="auto"/>
            </w:tcBorders>
            <w:vAlign w:val="center"/>
          </w:tcPr>
          <w:p w:rsidR="00145F6B" w:rsidRPr="00AC163E" w:rsidRDefault="00145F6B" w:rsidP="00AC163E">
            <w:pPr>
              <w:jc w:val="center"/>
              <w:rPr>
                <w:rFonts w:ascii="Arial Narrow" w:hAnsi="Arial Narrow"/>
                <w:b/>
                <w:i/>
                <w:sz w:val="22"/>
                <w:szCs w:val="22"/>
              </w:rPr>
            </w:pPr>
            <w:r w:rsidRPr="00AC163E">
              <w:rPr>
                <w:rFonts w:ascii="Arial Narrow" w:hAnsi="Arial Narrow"/>
                <w:b/>
                <w:i/>
                <w:sz w:val="22"/>
                <w:szCs w:val="22"/>
              </w:rPr>
              <w:t>Non mentionné</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Toxicomanes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89%</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11%</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85%</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15%</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gens de race différente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10%</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90%</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16%</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84%</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gens qui ont le SIDA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29%</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71%</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50%</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49%</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immigrants/travailleurs étrangers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11%</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88%</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17%</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82%</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Homosexuels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80%</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19%</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76%</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23%</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gens d'une religion différente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12%</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88%</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21%</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79%</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Ivrognes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66%</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34%</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65%</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35%</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Couples célibataires vivant ensemble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17%</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83%</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36%</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64%</w:t>
            </w:r>
          </w:p>
        </w:tc>
      </w:tr>
      <w:tr w:rsidR="00F20EB0" w:rsidRPr="00AC163E" w:rsidTr="00F20EB0">
        <w:trPr>
          <w:jc w:val="center"/>
        </w:trPr>
        <w:tc>
          <w:tcPr>
            <w:tcW w:w="1852" w:type="pct"/>
            <w:tcBorders>
              <w:left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gens qui parlent une langue différente </w:t>
            </w:r>
          </w:p>
        </w:tc>
        <w:tc>
          <w:tcPr>
            <w:tcW w:w="910"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10%</w:t>
            </w:r>
          </w:p>
        </w:tc>
        <w:tc>
          <w:tcPr>
            <w:tcW w:w="668"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90%</w:t>
            </w:r>
          </w:p>
        </w:tc>
        <w:tc>
          <w:tcPr>
            <w:tcW w:w="903" w:type="pct"/>
            <w:tcBorders>
              <w:lef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17%</w:t>
            </w:r>
          </w:p>
        </w:tc>
        <w:tc>
          <w:tcPr>
            <w:tcW w:w="667" w:type="pct"/>
            <w:tcBorders>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83%</w:t>
            </w:r>
          </w:p>
        </w:tc>
      </w:tr>
      <w:tr w:rsidR="00F20EB0" w:rsidRPr="00AC163E" w:rsidTr="00F20EB0">
        <w:trPr>
          <w:jc w:val="center"/>
        </w:trPr>
        <w:tc>
          <w:tcPr>
            <w:tcW w:w="1852" w:type="pct"/>
            <w:tcBorders>
              <w:top w:val="single" w:sz="4" w:space="0" w:color="auto"/>
              <w:left w:val="single" w:sz="12" w:space="0" w:color="auto"/>
              <w:bottom w:val="single" w:sz="12" w:space="0" w:color="auto"/>
              <w:right w:val="single" w:sz="12" w:space="0" w:color="auto"/>
            </w:tcBorders>
          </w:tcPr>
          <w:p w:rsidR="00F319D3" w:rsidRPr="00AC163E" w:rsidRDefault="00F319D3" w:rsidP="00AC163E">
            <w:pPr>
              <w:autoSpaceDE w:val="0"/>
              <w:autoSpaceDN w:val="0"/>
              <w:jc w:val="both"/>
              <w:rPr>
                <w:rFonts w:ascii="Arial Narrow" w:hAnsi="Arial Narrow"/>
                <w:sz w:val="22"/>
                <w:szCs w:val="22"/>
                <w:lang w:bidi="bn-IN"/>
              </w:rPr>
            </w:pPr>
            <w:r w:rsidRPr="00AC163E">
              <w:rPr>
                <w:rFonts w:ascii="Arial Narrow" w:hAnsi="Arial Narrow"/>
                <w:sz w:val="22"/>
                <w:szCs w:val="22"/>
                <w:lang w:bidi="bn-IN"/>
              </w:rPr>
              <w:t xml:space="preserve">Les gens d'un autre groupe ethnique </w:t>
            </w:r>
          </w:p>
        </w:tc>
        <w:tc>
          <w:tcPr>
            <w:tcW w:w="910" w:type="pct"/>
            <w:tcBorders>
              <w:top w:val="single" w:sz="4" w:space="0" w:color="auto"/>
              <w:left w:val="single" w:sz="12" w:space="0" w:color="auto"/>
              <w:bottom w:val="single" w:sz="12" w:space="0" w:color="auto"/>
              <w:right w:val="single" w:sz="4"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w:t>
            </w:r>
          </w:p>
        </w:tc>
        <w:tc>
          <w:tcPr>
            <w:tcW w:w="668" w:type="pct"/>
            <w:tcBorders>
              <w:top w:val="single" w:sz="4" w:space="0" w:color="auto"/>
              <w:left w:val="single" w:sz="4" w:space="0" w:color="auto"/>
              <w:bottom w:val="single" w:sz="12" w:space="0" w:color="auto"/>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w:t>
            </w:r>
          </w:p>
        </w:tc>
        <w:tc>
          <w:tcPr>
            <w:tcW w:w="903" w:type="pct"/>
            <w:tcBorders>
              <w:top w:val="single" w:sz="4" w:space="0" w:color="auto"/>
              <w:left w:val="single" w:sz="12" w:space="0" w:color="auto"/>
              <w:bottom w:val="single" w:sz="12" w:space="0" w:color="auto"/>
              <w:right w:val="single" w:sz="4"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16%</w:t>
            </w:r>
          </w:p>
        </w:tc>
        <w:tc>
          <w:tcPr>
            <w:tcW w:w="667" w:type="pct"/>
            <w:tcBorders>
              <w:top w:val="single" w:sz="4" w:space="0" w:color="auto"/>
              <w:left w:val="single" w:sz="4" w:space="0" w:color="auto"/>
              <w:bottom w:val="single" w:sz="12" w:space="0" w:color="auto"/>
              <w:right w:val="single" w:sz="12" w:space="0" w:color="auto"/>
            </w:tcBorders>
          </w:tcPr>
          <w:p w:rsidR="00F319D3" w:rsidRPr="00AC163E" w:rsidRDefault="00F319D3"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81%</w:t>
            </w:r>
          </w:p>
        </w:tc>
      </w:tr>
    </w:tbl>
    <w:p w:rsidR="00D915BB" w:rsidRPr="00AC163E" w:rsidRDefault="00D915BB" w:rsidP="00AC163E">
      <w:pPr>
        <w:spacing w:before="240"/>
        <w:rPr>
          <w:rFonts w:ascii="Arial Narrow" w:hAnsi="Arial Narrow"/>
          <w:b/>
          <w:sz w:val="22"/>
          <w:szCs w:val="22"/>
          <w:u w:val="single"/>
          <w:lang w:bidi="bn-IN"/>
        </w:rPr>
      </w:pPr>
      <w:r w:rsidRPr="00AC163E">
        <w:rPr>
          <w:rFonts w:ascii="Arial Narrow" w:hAnsi="Arial Narrow"/>
          <w:b/>
          <w:sz w:val="22"/>
          <w:szCs w:val="22"/>
          <w:u w:val="single"/>
          <w:lang w:bidi="bn-IN"/>
        </w:rPr>
        <w:t>Source: Enquêtes World Values Survey 2007 et CGD 2010.</w:t>
      </w:r>
    </w:p>
    <w:p w:rsidR="00B341FE" w:rsidRPr="00AC163E" w:rsidRDefault="00B341FE" w:rsidP="00AC163E">
      <w:pPr>
        <w:autoSpaceDE w:val="0"/>
        <w:autoSpaceDN w:val="0"/>
        <w:spacing w:before="120"/>
        <w:ind w:firstLine="567"/>
        <w:jc w:val="both"/>
        <w:rPr>
          <w:rFonts w:ascii="Arial Narrow" w:hAnsi="Arial Narrow"/>
          <w:bCs/>
        </w:rPr>
      </w:pPr>
    </w:p>
    <w:p w:rsidR="00AF12D2" w:rsidRPr="00AC163E" w:rsidRDefault="00A161D9" w:rsidP="00AC163E">
      <w:pPr>
        <w:pStyle w:val="Pieddepage"/>
        <w:tabs>
          <w:tab w:val="clear" w:pos="4320"/>
          <w:tab w:val="clear" w:pos="8640"/>
        </w:tabs>
        <w:spacing w:before="120"/>
        <w:jc w:val="both"/>
        <w:rPr>
          <w:rFonts w:ascii="Arial Narrow" w:eastAsia="Times New Roman" w:hAnsi="Arial Narrow"/>
          <w:b/>
          <w:u w:val="single"/>
          <w:lang w:val="fr-FR" w:eastAsia="en-US"/>
        </w:rPr>
      </w:pPr>
      <w:r w:rsidRPr="00AC163E">
        <w:rPr>
          <w:rFonts w:ascii="Arial Narrow" w:eastAsia="Times New Roman" w:hAnsi="Arial Narrow"/>
          <w:b/>
          <w:u w:val="single"/>
          <w:lang w:val="fr-FR" w:eastAsia="en-US"/>
        </w:rPr>
        <w:t xml:space="preserve">III. </w:t>
      </w:r>
      <w:r w:rsidR="00B341FE" w:rsidRPr="00AC163E">
        <w:rPr>
          <w:rFonts w:ascii="Arial Narrow" w:eastAsia="Times New Roman" w:hAnsi="Arial Narrow"/>
          <w:b/>
          <w:u w:val="single"/>
          <w:lang w:val="fr-FR" w:eastAsia="en-US"/>
        </w:rPr>
        <w:t>Religion et politique</w:t>
      </w:r>
    </w:p>
    <w:p w:rsidR="00145F6B" w:rsidRPr="00AC163E" w:rsidRDefault="00D915BB" w:rsidP="00AC163E">
      <w:pPr>
        <w:pStyle w:val="Pieddepage"/>
        <w:tabs>
          <w:tab w:val="clear" w:pos="4320"/>
          <w:tab w:val="clear" w:pos="8640"/>
        </w:tabs>
        <w:spacing w:before="120"/>
        <w:ind w:firstLine="567"/>
        <w:jc w:val="both"/>
        <w:rPr>
          <w:rFonts w:ascii="Arial Narrow" w:hAnsi="Arial Narrow"/>
          <w:lang w:val="fr-FR" w:bidi="bn-IN"/>
        </w:rPr>
      </w:pPr>
      <w:r w:rsidRPr="00AC163E">
        <w:rPr>
          <w:rFonts w:ascii="Arial Narrow" w:eastAsia="Times New Roman" w:hAnsi="Arial Narrow"/>
          <w:lang w:val="fr-FR" w:eastAsia="en-US"/>
        </w:rPr>
        <w:t>Comment le</w:t>
      </w:r>
      <w:r w:rsidR="00B341FE" w:rsidRPr="00AC163E">
        <w:rPr>
          <w:rFonts w:ascii="Arial Narrow" w:eastAsia="Times New Roman" w:hAnsi="Arial Narrow"/>
          <w:lang w:val="fr-FR" w:eastAsia="en-US"/>
        </w:rPr>
        <w:t xml:space="preserve">s Burkinabè </w:t>
      </w:r>
      <w:r w:rsidRPr="00AC163E">
        <w:rPr>
          <w:rFonts w:ascii="Arial Narrow" w:eastAsia="Times New Roman" w:hAnsi="Arial Narrow"/>
          <w:lang w:val="fr-FR" w:eastAsia="en-US"/>
        </w:rPr>
        <w:t xml:space="preserve">perçoivent-ils les rapports entre religieux et politique? </w:t>
      </w:r>
      <w:r w:rsidR="00901E63" w:rsidRPr="00AC163E">
        <w:rPr>
          <w:rFonts w:ascii="Arial Narrow" w:eastAsia="Times New Roman" w:hAnsi="Arial Narrow"/>
          <w:lang w:val="fr-FR" w:eastAsia="en-US"/>
        </w:rPr>
        <w:t>On observe tout d'abord que les Burkinabè ont une grande confiance envers leurs leaders</w:t>
      </w:r>
      <w:r w:rsidR="003B60DD" w:rsidRPr="00AC163E">
        <w:rPr>
          <w:rFonts w:ascii="Arial Narrow" w:hAnsi="Arial Narrow"/>
          <w:lang w:val="fr-FR" w:bidi="bn-IN"/>
        </w:rPr>
        <w:t xml:space="preserve"> religieu</w:t>
      </w:r>
      <w:r w:rsidR="00901E63" w:rsidRPr="00AC163E">
        <w:rPr>
          <w:rFonts w:ascii="Arial Narrow" w:hAnsi="Arial Narrow"/>
          <w:lang w:val="fr-FR" w:bidi="bn-IN"/>
        </w:rPr>
        <w:t>x</w:t>
      </w:r>
      <w:r w:rsidRPr="00AC163E">
        <w:rPr>
          <w:rFonts w:ascii="Arial Narrow" w:hAnsi="Arial Narrow"/>
          <w:lang w:val="fr-FR" w:bidi="bn-IN"/>
        </w:rPr>
        <w:t>, qui</w:t>
      </w:r>
      <w:r w:rsidR="00901E63" w:rsidRPr="00AC163E">
        <w:rPr>
          <w:rFonts w:ascii="Arial Narrow" w:hAnsi="Arial Narrow"/>
          <w:lang w:val="fr-FR" w:bidi="bn-IN"/>
        </w:rPr>
        <w:t xml:space="preserve"> </w:t>
      </w:r>
      <w:r w:rsidR="00B341FE" w:rsidRPr="00AC163E">
        <w:rPr>
          <w:rFonts w:ascii="Arial Narrow" w:hAnsi="Arial Narrow"/>
          <w:lang w:val="fr-FR" w:bidi="bn-IN"/>
        </w:rPr>
        <w:t xml:space="preserve">cristallisent le plus de confiance (83%) après </w:t>
      </w:r>
      <w:r w:rsidR="00B341FE" w:rsidRPr="00AC163E">
        <w:rPr>
          <w:rFonts w:ascii="Arial Narrow" w:hAnsi="Arial Narrow"/>
          <w:iCs/>
          <w:lang w:val="fr-FR" w:bidi="bn-IN"/>
        </w:rPr>
        <w:t>l</w:t>
      </w:r>
      <w:r w:rsidR="00B341FE" w:rsidRPr="00AC163E">
        <w:rPr>
          <w:rFonts w:ascii="Arial Narrow" w:hAnsi="Arial Narrow"/>
          <w:lang w:val="fr-FR" w:bidi="bn-IN"/>
        </w:rPr>
        <w:t>a famille (96%), et avant les chefs traditionnels (80%</w:t>
      </w:r>
      <w:r w:rsidR="00901E63" w:rsidRPr="00AC163E">
        <w:rPr>
          <w:rFonts w:ascii="Arial Narrow" w:hAnsi="Arial Narrow"/>
          <w:lang w:val="fr-FR" w:bidi="bn-IN"/>
        </w:rPr>
        <w:t xml:space="preserve">), </w:t>
      </w:r>
      <w:r w:rsidRPr="00AC163E">
        <w:rPr>
          <w:rFonts w:ascii="Arial Narrow" w:hAnsi="Arial Narrow"/>
          <w:lang w:val="fr-FR" w:bidi="bn-IN"/>
        </w:rPr>
        <w:t xml:space="preserve">et </w:t>
      </w:r>
      <w:r w:rsidR="00901E63" w:rsidRPr="00AC163E">
        <w:rPr>
          <w:rFonts w:ascii="Arial Narrow" w:hAnsi="Arial Narrow"/>
          <w:lang w:val="fr-FR" w:bidi="bn-IN"/>
        </w:rPr>
        <w:t xml:space="preserve">bien avant le gouvernement (76%) ou le parlement (68%). </w:t>
      </w:r>
      <w:r w:rsidR="003B60DD" w:rsidRPr="00AC163E">
        <w:rPr>
          <w:rFonts w:ascii="Arial Narrow" w:hAnsi="Arial Narrow"/>
          <w:lang w:val="fr-FR" w:bidi="bn-IN"/>
        </w:rPr>
        <w:t>La gra</w:t>
      </w:r>
      <w:r w:rsidR="00E97B13" w:rsidRPr="00AC163E">
        <w:rPr>
          <w:rFonts w:ascii="Arial Narrow" w:hAnsi="Arial Narrow"/>
          <w:lang w:val="fr-FR" w:bidi="bn-IN"/>
        </w:rPr>
        <w:t xml:space="preserve">nde majorité </w:t>
      </w:r>
      <w:r w:rsidR="00901E63" w:rsidRPr="00AC163E">
        <w:rPr>
          <w:rFonts w:ascii="Arial Narrow" w:hAnsi="Arial Narrow"/>
          <w:lang w:val="fr-FR" w:bidi="bn-IN"/>
        </w:rPr>
        <w:t>des répondants</w:t>
      </w:r>
      <w:r w:rsidR="00E97B13" w:rsidRPr="00AC163E">
        <w:rPr>
          <w:rFonts w:ascii="Arial Narrow" w:hAnsi="Arial Narrow"/>
          <w:lang w:val="fr-FR" w:bidi="bn-IN"/>
        </w:rPr>
        <w:t xml:space="preserve"> pense</w:t>
      </w:r>
      <w:r w:rsidR="003B60DD" w:rsidRPr="00AC163E">
        <w:rPr>
          <w:rFonts w:ascii="Arial Narrow" w:hAnsi="Arial Narrow"/>
          <w:lang w:val="fr-FR" w:bidi="bn-IN"/>
        </w:rPr>
        <w:t xml:space="preserve"> que </w:t>
      </w:r>
      <w:r w:rsidR="00901E63" w:rsidRPr="00AC163E">
        <w:rPr>
          <w:rFonts w:ascii="Arial Narrow" w:hAnsi="Arial Narrow"/>
          <w:lang w:val="fr-FR" w:bidi="bn-IN"/>
        </w:rPr>
        <w:t>les leaders religieux</w:t>
      </w:r>
      <w:r w:rsidR="003B60DD" w:rsidRPr="00AC163E">
        <w:rPr>
          <w:rFonts w:ascii="Arial Narrow" w:hAnsi="Arial Narrow"/>
          <w:lang w:val="fr-FR" w:bidi="bn-IN"/>
        </w:rPr>
        <w:t xml:space="preserve"> donnent </w:t>
      </w:r>
      <w:r w:rsidR="00901E63" w:rsidRPr="00AC163E">
        <w:rPr>
          <w:rFonts w:ascii="Arial Narrow" w:hAnsi="Arial Narrow"/>
          <w:lang w:val="fr-FR" w:bidi="bn-IN"/>
        </w:rPr>
        <w:t xml:space="preserve">des </w:t>
      </w:r>
      <w:r w:rsidR="003B60DD" w:rsidRPr="00AC163E">
        <w:rPr>
          <w:rFonts w:ascii="Arial Narrow" w:hAnsi="Arial Narrow"/>
          <w:lang w:val="fr-FR" w:bidi="bn-IN"/>
        </w:rPr>
        <w:t>rép</w:t>
      </w:r>
      <w:r w:rsidR="00901E63" w:rsidRPr="00AC163E">
        <w:rPr>
          <w:rFonts w:ascii="Arial Narrow" w:hAnsi="Arial Narrow"/>
          <w:lang w:val="fr-FR" w:bidi="bn-IN"/>
        </w:rPr>
        <w:t xml:space="preserve">onses appropriées aux problèmes </w:t>
      </w:r>
      <w:r w:rsidR="003B60DD" w:rsidRPr="00AC163E">
        <w:rPr>
          <w:rFonts w:ascii="Arial Narrow" w:hAnsi="Arial Narrow"/>
          <w:lang w:val="fr-FR" w:bidi="bn-IN"/>
        </w:rPr>
        <w:t>et besoins moraux</w:t>
      </w:r>
      <w:r w:rsidR="00901E63" w:rsidRPr="00AC163E">
        <w:rPr>
          <w:rFonts w:ascii="Arial Narrow" w:hAnsi="Arial Narrow"/>
          <w:lang w:val="fr-FR" w:bidi="bn-IN"/>
        </w:rPr>
        <w:t>, spirituels et sociaux</w:t>
      </w:r>
      <w:r w:rsidR="003B60DD" w:rsidRPr="00AC163E">
        <w:rPr>
          <w:rFonts w:ascii="Arial Narrow" w:hAnsi="Arial Narrow"/>
          <w:lang w:val="fr-FR" w:bidi="bn-IN"/>
        </w:rPr>
        <w:t xml:space="preserve"> des individus</w:t>
      </w:r>
      <w:r w:rsidRPr="00AC163E">
        <w:rPr>
          <w:rFonts w:ascii="Arial Narrow" w:hAnsi="Arial Narrow"/>
          <w:lang w:val="fr-FR" w:bidi="bn-IN"/>
        </w:rPr>
        <w:t>.</w:t>
      </w:r>
    </w:p>
    <w:p w:rsidR="00B035A7" w:rsidRPr="00AC163E" w:rsidRDefault="003C1161" w:rsidP="00AC163E">
      <w:pPr>
        <w:pStyle w:val="Pieddepage"/>
        <w:tabs>
          <w:tab w:val="clear" w:pos="4320"/>
          <w:tab w:val="clear" w:pos="8640"/>
        </w:tabs>
        <w:spacing w:before="120"/>
        <w:ind w:firstLine="567"/>
        <w:jc w:val="both"/>
        <w:rPr>
          <w:rFonts w:ascii="Arial Narrow" w:hAnsi="Arial Narrow"/>
          <w:lang w:val="fr-FR" w:bidi="bn-IN"/>
        </w:rPr>
      </w:pPr>
      <w:r w:rsidRPr="00AC163E">
        <w:rPr>
          <w:rFonts w:ascii="Arial Narrow" w:hAnsi="Arial Narrow"/>
          <w:lang w:val="fr-FR" w:bidi="bn-IN"/>
        </w:rPr>
        <w:t>L</w:t>
      </w:r>
      <w:r w:rsidR="00B035A7" w:rsidRPr="00AC163E">
        <w:rPr>
          <w:rFonts w:ascii="Arial Narrow" w:hAnsi="Arial Narrow"/>
          <w:lang w:val="fr-FR" w:bidi="bn-IN"/>
        </w:rPr>
        <w:t xml:space="preserve">'importance du fait religieux </w:t>
      </w:r>
      <w:r w:rsidRPr="00AC163E">
        <w:rPr>
          <w:rFonts w:ascii="Arial Narrow" w:hAnsi="Arial Narrow"/>
          <w:lang w:val="fr-FR" w:bidi="bn-IN"/>
        </w:rPr>
        <w:t xml:space="preserve">chez les Burkinabè </w:t>
      </w:r>
      <w:r w:rsidR="00B035A7" w:rsidRPr="00AC163E">
        <w:rPr>
          <w:rFonts w:ascii="Arial Narrow" w:hAnsi="Arial Narrow"/>
          <w:lang w:val="fr-FR" w:bidi="bn-IN"/>
        </w:rPr>
        <w:t>n'est pas sans influence sur le</w:t>
      </w:r>
      <w:r w:rsidR="00D915BB" w:rsidRPr="00AC163E">
        <w:rPr>
          <w:rFonts w:ascii="Arial Narrow" w:hAnsi="Arial Narrow"/>
          <w:lang w:val="fr-FR" w:bidi="bn-IN"/>
        </w:rPr>
        <w:t>ur</w:t>
      </w:r>
      <w:r w:rsidR="00B035A7" w:rsidRPr="00AC163E">
        <w:rPr>
          <w:rFonts w:ascii="Arial Narrow" w:hAnsi="Arial Narrow"/>
          <w:lang w:val="fr-FR" w:bidi="bn-IN"/>
        </w:rPr>
        <w:t>s perceptions</w:t>
      </w:r>
      <w:r w:rsidR="00563E39">
        <w:rPr>
          <w:rFonts w:ascii="Arial Narrow" w:hAnsi="Arial Narrow"/>
          <w:lang w:val="fr-FR" w:bidi="bn-IN"/>
        </w:rPr>
        <w:t xml:space="preserve"> des</w:t>
      </w:r>
      <w:r w:rsidR="00B035A7" w:rsidRPr="00AC163E">
        <w:rPr>
          <w:rFonts w:ascii="Arial Narrow" w:hAnsi="Arial Narrow"/>
          <w:lang w:val="fr-FR" w:bidi="bn-IN"/>
        </w:rPr>
        <w:t xml:space="preserve"> </w:t>
      </w:r>
      <w:r w:rsidR="00D915BB" w:rsidRPr="00AC163E">
        <w:rPr>
          <w:rFonts w:ascii="Arial Narrow" w:hAnsi="Arial Narrow"/>
          <w:lang w:val="fr-FR" w:bidi="bn-IN"/>
        </w:rPr>
        <w:t>rapports entre le politique et le religieux</w:t>
      </w:r>
      <w:r w:rsidR="00B035A7" w:rsidRPr="00AC163E">
        <w:rPr>
          <w:rFonts w:ascii="Arial Narrow" w:hAnsi="Arial Narrow"/>
          <w:lang w:val="fr-FR" w:bidi="bn-IN"/>
        </w:rPr>
        <w:t xml:space="preserve">. </w:t>
      </w:r>
      <w:r w:rsidRPr="00AC163E">
        <w:rPr>
          <w:rFonts w:ascii="Arial Narrow" w:hAnsi="Arial Narrow"/>
          <w:lang w:val="fr-FR" w:bidi="bn-IN"/>
        </w:rPr>
        <w:t>Ainsi, en 2010</w:t>
      </w:r>
      <w:r w:rsidR="00B035A7" w:rsidRPr="00AC163E">
        <w:rPr>
          <w:rFonts w:ascii="Arial Narrow" w:hAnsi="Arial Narrow"/>
          <w:lang w:val="fr-FR" w:bidi="bn-IN"/>
        </w:rPr>
        <w:t xml:space="preserve">, </w:t>
      </w:r>
      <w:r w:rsidR="00D915BB" w:rsidRPr="00AC163E">
        <w:rPr>
          <w:rFonts w:ascii="Arial Narrow" w:hAnsi="Arial Narrow"/>
          <w:lang w:val="fr-FR" w:bidi="bn-IN"/>
        </w:rPr>
        <w:t>environ trois</w:t>
      </w:r>
      <w:r w:rsidR="00DB617B" w:rsidRPr="00AC163E">
        <w:rPr>
          <w:rFonts w:ascii="Arial Narrow" w:hAnsi="Arial Narrow"/>
          <w:lang w:val="fr-FR" w:bidi="bn-IN"/>
        </w:rPr>
        <w:t xml:space="preserve"> répondants sur </w:t>
      </w:r>
      <w:r w:rsidR="00D915BB" w:rsidRPr="00AC163E">
        <w:rPr>
          <w:rFonts w:ascii="Arial Narrow" w:hAnsi="Arial Narrow"/>
          <w:lang w:val="fr-FR" w:bidi="bn-IN"/>
        </w:rPr>
        <w:t>cinq</w:t>
      </w:r>
      <w:r w:rsidR="00DB617B" w:rsidRPr="00AC163E">
        <w:rPr>
          <w:rFonts w:ascii="Arial Narrow" w:hAnsi="Arial Narrow"/>
          <w:lang w:val="fr-FR" w:bidi="bn-IN"/>
        </w:rPr>
        <w:t xml:space="preserve"> (</w:t>
      </w:r>
      <w:r w:rsidR="00D915BB" w:rsidRPr="00AC163E">
        <w:rPr>
          <w:rFonts w:ascii="Arial Narrow" w:hAnsi="Arial Narrow"/>
          <w:lang w:val="fr-FR" w:bidi="bn-IN"/>
        </w:rPr>
        <w:t>59%</w:t>
      </w:r>
      <w:r w:rsidR="00DB617B" w:rsidRPr="00AC163E">
        <w:rPr>
          <w:rFonts w:ascii="Arial Narrow" w:hAnsi="Arial Narrow"/>
          <w:lang w:val="fr-FR" w:bidi="bn-IN"/>
        </w:rPr>
        <w:t>)</w:t>
      </w:r>
      <w:r w:rsidR="00B035A7" w:rsidRPr="00AC163E">
        <w:rPr>
          <w:rFonts w:ascii="Arial Narrow" w:hAnsi="Arial Narrow"/>
          <w:lang w:val="fr-FR" w:bidi="bn-IN"/>
        </w:rPr>
        <w:t xml:space="preserve"> estimai</w:t>
      </w:r>
      <w:r w:rsidR="00DB617B" w:rsidRPr="00AC163E">
        <w:rPr>
          <w:rFonts w:ascii="Arial Narrow" w:hAnsi="Arial Narrow"/>
          <w:lang w:val="fr-FR" w:bidi="bn-IN"/>
        </w:rPr>
        <w:t>en</w:t>
      </w:r>
      <w:r w:rsidR="00B035A7" w:rsidRPr="00AC163E">
        <w:rPr>
          <w:rFonts w:ascii="Arial Narrow" w:hAnsi="Arial Narrow"/>
          <w:lang w:val="fr-FR" w:bidi="bn-IN"/>
        </w:rPr>
        <w:t>t que les politiciens qui ne croient pas en Dieu ne sont pas faits pour des postes publics</w:t>
      </w:r>
      <w:r w:rsidR="00AC163E" w:rsidRPr="00AC163E">
        <w:rPr>
          <w:rFonts w:ascii="Arial Narrow" w:hAnsi="Arial Narrow"/>
          <w:lang w:val="fr-FR" w:bidi="bn-IN"/>
        </w:rPr>
        <w:t xml:space="preserve"> et que le Burkina Faso serait meilleur si des gens ayant de solides croyances religieuses occupaient les postes publics (69%)</w:t>
      </w:r>
      <w:r w:rsidR="00B035A7" w:rsidRPr="00AC163E">
        <w:rPr>
          <w:rFonts w:ascii="Arial Narrow" w:hAnsi="Arial Narrow"/>
          <w:lang w:val="fr-FR" w:bidi="bn-IN"/>
        </w:rPr>
        <w:t xml:space="preserve">. </w:t>
      </w:r>
      <w:r w:rsidR="00DB617B" w:rsidRPr="00AC163E">
        <w:rPr>
          <w:rFonts w:ascii="Arial Narrow" w:hAnsi="Arial Narrow"/>
          <w:lang w:val="fr-FR" w:bidi="bn-IN"/>
        </w:rPr>
        <w:t xml:space="preserve">Cependant, la grande majorité </w:t>
      </w:r>
      <w:r w:rsidR="00B035A7" w:rsidRPr="00AC163E">
        <w:rPr>
          <w:rFonts w:ascii="Arial Narrow" w:hAnsi="Arial Narrow"/>
          <w:lang w:val="fr-FR" w:bidi="bn-IN"/>
        </w:rPr>
        <w:t>de</w:t>
      </w:r>
      <w:r w:rsidR="00DB617B" w:rsidRPr="00AC163E">
        <w:rPr>
          <w:rFonts w:ascii="Arial Narrow" w:hAnsi="Arial Narrow"/>
          <w:lang w:val="fr-FR" w:bidi="bn-IN"/>
        </w:rPr>
        <w:t>s</w:t>
      </w:r>
      <w:r w:rsidR="00B035A7" w:rsidRPr="00AC163E">
        <w:rPr>
          <w:rFonts w:ascii="Arial Narrow" w:hAnsi="Arial Narrow"/>
          <w:lang w:val="fr-FR" w:bidi="bn-IN"/>
        </w:rPr>
        <w:t xml:space="preserve"> répondants affirm</w:t>
      </w:r>
      <w:r w:rsidR="00DB617B" w:rsidRPr="00AC163E">
        <w:rPr>
          <w:rFonts w:ascii="Arial Narrow" w:hAnsi="Arial Narrow"/>
          <w:lang w:val="fr-FR" w:bidi="bn-IN"/>
        </w:rPr>
        <w:t>ent</w:t>
      </w:r>
      <w:r w:rsidR="00B035A7" w:rsidRPr="00AC163E">
        <w:rPr>
          <w:rFonts w:ascii="Arial Narrow" w:hAnsi="Arial Narrow"/>
          <w:lang w:val="fr-FR" w:bidi="bn-IN"/>
        </w:rPr>
        <w:t xml:space="preserve"> que les leaders religieux ne devraient pas influe</w:t>
      </w:r>
      <w:r w:rsidR="00DB617B" w:rsidRPr="00AC163E">
        <w:rPr>
          <w:rFonts w:ascii="Arial Narrow" w:hAnsi="Arial Narrow"/>
          <w:lang w:val="fr-FR" w:bidi="bn-IN"/>
        </w:rPr>
        <w:t>ncer le vote des électeurs (65%)</w:t>
      </w:r>
      <w:r w:rsidR="00B035A7" w:rsidRPr="00AC163E">
        <w:rPr>
          <w:rFonts w:ascii="Arial Narrow" w:hAnsi="Arial Narrow"/>
          <w:lang w:val="fr-FR" w:bidi="bn-IN"/>
        </w:rPr>
        <w:t xml:space="preserve"> ou les décisions gouvernementales (</w:t>
      </w:r>
      <w:r w:rsidR="00DB617B" w:rsidRPr="00AC163E">
        <w:rPr>
          <w:rFonts w:ascii="Arial Narrow" w:hAnsi="Arial Narrow"/>
          <w:lang w:val="fr-FR" w:bidi="bn-IN"/>
        </w:rPr>
        <w:t>57</w:t>
      </w:r>
      <w:r w:rsidR="00B035A7" w:rsidRPr="00AC163E">
        <w:rPr>
          <w:rFonts w:ascii="Arial Narrow" w:hAnsi="Arial Narrow"/>
          <w:lang w:val="fr-FR" w:bidi="bn-IN"/>
        </w:rPr>
        <w:t xml:space="preserve">%). </w:t>
      </w:r>
    </w:p>
    <w:p w:rsidR="00145F6B" w:rsidRPr="00AC163E" w:rsidRDefault="00145F6B" w:rsidP="00AC163E">
      <w:pPr>
        <w:autoSpaceDE w:val="0"/>
        <w:autoSpaceDN w:val="0"/>
        <w:spacing w:before="240"/>
        <w:jc w:val="both"/>
        <w:rPr>
          <w:rFonts w:ascii="Arial Narrow" w:hAnsi="Arial Narrow"/>
          <w:b/>
          <w:sz w:val="22"/>
          <w:szCs w:val="22"/>
          <w:lang w:bidi="bn-IN"/>
        </w:rPr>
      </w:pPr>
      <w:r w:rsidRPr="00AC163E">
        <w:rPr>
          <w:rFonts w:ascii="Arial Narrow" w:hAnsi="Arial Narrow"/>
          <w:b/>
          <w:sz w:val="22"/>
          <w:szCs w:val="22"/>
          <w:u w:val="single"/>
          <w:lang w:bidi="bn-IN"/>
        </w:rPr>
        <w:t>Tableau n°</w:t>
      </w:r>
      <w:r w:rsidR="00D915BB" w:rsidRPr="00AC163E">
        <w:rPr>
          <w:rFonts w:ascii="Arial Narrow" w:hAnsi="Arial Narrow"/>
          <w:b/>
          <w:sz w:val="22"/>
          <w:szCs w:val="22"/>
          <w:u w:val="single"/>
          <w:lang w:bidi="bn-IN"/>
        </w:rPr>
        <w:t>3</w:t>
      </w:r>
      <w:r w:rsidR="00794156" w:rsidRPr="00AC163E">
        <w:rPr>
          <w:rFonts w:ascii="Arial Narrow" w:hAnsi="Arial Narrow"/>
          <w:b/>
          <w:sz w:val="22"/>
          <w:szCs w:val="22"/>
          <w:lang w:bidi="bn-IN"/>
        </w:rPr>
        <w:t xml:space="preserve"> </w:t>
      </w:r>
      <w:r w:rsidRPr="00AC163E">
        <w:rPr>
          <w:rFonts w:ascii="Arial Narrow" w:hAnsi="Arial Narrow"/>
          <w:b/>
          <w:sz w:val="22"/>
          <w:szCs w:val="22"/>
          <w:lang w:bidi="bn-IN"/>
        </w:rPr>
        <w:t>: Religion et politique</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46"/>
        <w:gridCol w:w="1212"/>
        <w:gridCol w:w="1590"/>
        <w:gridCol w:w="1288"/>
        <w:gridCol w:w="1210"/>
        <w:gridCol w:w="1560"/>
        <w:gridCol w:w="1281"/>
      </w:tblGrid>
      <w:tr w:rsidR="00145F6B" w:rsidRPr="00AC163E" w:rsidTr="00AC163E">
        <w:trPr>
          <w:tblHeader/>
          <w:jc w:val="center"/>
        </w:trPr>
        <w:tc>
          <w:tcPr>
            <w:tcW w:w="1226" w:type="pct"/>
            <w:vMerge w:val="restart"/>
            <w:tcBorders>
              <w:top w:val="nil"/>
              <w:left w:val="nil"/>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p>
        </w:tc>
        <w:tc>
          <w:tcPr>
            <w:tcW w:w="1896" w:type="pct"/>
            <w:gridSpan w:val="3"/>
            <w:tcBorders>
              <w:top w:val="single" w:sz="12" w:space="0" w:color="auto"/>
              <w:left w:val="single" w:sz="12" w:space="0" w:color="auto"/>
              <w:bottom w:val="single" w:sz="4" w:space="0" w:color="auto"/>
              <w:right w:val="single" w:sz="12" w:space="0" w:color="auto"/>
            </w:tcBorders>
            <w:shd w:val="pct5" w:color="auto" w:fill="auto"/>
            <w:vAlign w:val="center"/>
          </w:tcPr>
          <w:p w:rsidR="00145F6B" w:rsidRPr="00AC163E" w:rsidRDefault="00145F6B" w:rsidP="00AC163E">
            <w:pPr>
              <w:jc w:val="center"/>
              <w:rPr>
                <w:rFonts w:ascii="Arial Narrow" w:hAnsi="Arial Narrow"/>
                <w:b/>
                <w:sz w:val="22"/>
                <w:szCs w:val="22"/>
              </w:rPr>
            </w:pPr>
            <w:r w:rsidRPr="00AC163E">
              <w:rPr>
                <w:rFonts w:ascii="Arial Narrow" w:hAnsi="Arial Narrow"/>
                <w:b/>
                <w:sz w:val="22"/>
                <w:szCs w:val="22"/>
              </w:rPr>
              <w:t>2007</w:t>
            </w:r>
          </w:p>
        </w:tc>
        <w:tc>
          <w:tcPr>
            <w:tcW w:w="1878" w:type="pct"/>
            <w:gridSpan w:val="3"/>
            <w:tcBorders>
              <w:top w:val="single" w:sz="12" w:space="0" w:color="auto"/>
              <w:left w:val="single" w:sz="12" w:space="0" w:color="auto"/>
              <w:bottom w:val="single" w:sz="4" w:space="0" w:color="auto"/>
              <w:right w:val="single" w:sz="12" w:space="0" w:color="auto"/>
            </w:tcBorders>
            <w:shd w:val="pct5" w:color="auto" w:fill="auto"/>
            <w:vAlign w:val="center"/>
          </w:tcPr>
          <w:p w:rsidR="00145F6B" w:rsidRPr="00AC163E" w:rsidRDefault="00145F6B" w:rsidP="00AC163E">
            <w:pPr>
              <w:jc w:val="center"/>
              <w:rPr>
                <w:rFonts w:ascii="Arial Narrow" w:hAnsi="Arial Narrow"/>
                <w:b/>
                <w:sz w:val="22"/>
                <w:szCs w:val="22"/>
              </w:rPr>
            </w:pPr>
            <w:r w:rsidRPr="00AC163E">
              <w:rPr>
                <w:rFonts w:ascii="Arial Narrow" w:hAnsi="Arial Narrow"/>
                <w:b/>
                <w:sz w:val="22"/>
                <w:szCs w:val="22"/>
              </w:rPr>
              <w:t>2010</w:t>
            </w:r>
          </w:p>
        </w:tc>
      </w:tr>
      <w:tr w:rsidR="00145F6B" w:rsidRPr="00AC163E" w:rsidTr="00AC163E">
        <w:trPr>
          <w:tblHeader/>
          <w:jc w:val="center"/>
        </w:trPr>
        <w:tc>
          <w:tcPr>
            <w:tcW w:w="1226" w:type="pct"/>
            <w:vMerge/>
            <w:tcBorders>
              <w:left w:val="nil"/>
              <w:bottom w:val="single" w:sz="12" w:space="0" w:color="auto"/>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p>
        </w:tc>
        <w:tc>
          <w:tcPr>
            <w:tcW w:w="562"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D’accord</w:t>
            </w:r>
          </w:p>
        </w:tc>
        <w:tc>
          <w:tcPr>
            <w:tcW w:w="737" w:type="pct"/>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Ni d’accord ni en désaccord</w:t>
            </w:r>
          </w:p>
        </w:tc>
        <w:tc>
          <w:tcPr>
            <w:tcW w:w="597"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En désaccord</w:t>
            </w:r>
          </w:p>
        </w:tc>
        <w:tc>
          <w:tcPr>
            <w:tcW w:w="561"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D’accord</w:t>
            </w:r>
          </w:p>
        </w:tc>
        <w:tc>
          <w:tcPr>
            <w:tcW w:w="723" w:type="pct"/>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Ni d’accord ni en désaccord</w:t>
            </w:r>
          </w:p>
        </w:tc>
        <w:tc>
          <w:tcPr>
            <w:tcW w:w="594"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b/>
                <w:i/>
                <w:sz w:val="22"/>
                <w:szCs w:val="22"/>
                <w:lang w:bidi="bn-IN"/>
              </w:rPr>
            </w:pPr>
            <w:r w:rsidRPr="00AC163E">
              <w:rPr>
                <w:rFonts w:ascii="Arial Narrow" w:hAnsi="Arial Narrow"/>
                <w:b/>
                <w:i/>
                <w:sz w:val="22"/>
                <w:szCs w:val="22"/>
                <w:lang w:bidi="bn-IN"/>
              </w:rPr>
              <w:t>En désaccord</w:t>
            </w:r>
          </w:p>
        </w:tc>
      </w:tr>
      <w:tr w:rsidR="00145F6B" w:rsidRPr="00AC163E" w:rsidTr="00AC163E">
        <w:trPr>
          <w:tblHeader/>
          <w:jc w:val="center"/>
        </w:trPr>
        <w:tc>
          <w:tcPr>
            <w:tcW w:w="1226" w:type="pct"/>
            <w:tcBorders>
              <w:top w:val="single" w:sz="12" w:space="0" w:color="auto"/>
              <w:left w:val="single" w:sz="12" w:space="0" w:color="auto"/>
              <w:right w:val="single" w:sz="12" w:space="0" w:color="auto"/>
            </w:tcBorders>
            <w:vAlign w:val="center"/>
          </w:tcPr>
          <w:p w:rsidR="00145F6B" w:rsidRPr="00AC163E" w:rsidRDefault="00145F6B" w:rsidP="00AC163E">
            <w:pPr>
              <w:autoSpaceDE w:val="0"/>
              <w:autoSpaceDN w:val="0"/>
              <w:rPr>
                <w:rFonts w:ascii="Arial Narrow" w:hAnsi="Arial Narrow"/>
                <w:sz w:val="22"/>
                <w:szCs w:val="22"/>
                <w:lang w:bidi="bn-IN"/>
              </w:rPr>
            </w:pPr>
            <w:r w:rsidRPr="00AC163E">
              <w:rPr>
                <w:rFonts w:ascii="Arial Narrow" w:hAnsi="Arial Narrow"/>
                <w:sz w:val="22"/>
                <w:szCs w:val="22"/>
                <w:lang w:bidi="bn-IN"/>
              </w:rPr>
              <w:t>Les politiciens qui ne croient pas en Dieu ne sont pas faits pour des postes publics</w:t>
            </w:r>
          </w:p>
        </w:tc>
        <w:tc>
          <w:tcPr>
            <w:tcW w:w="562"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44%</w:t>
            </w:r>
          </w:p>
        </w:tc>
        <w:tc>
          <w:tcPr>
            <w:tcW w:w="737"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17%</w:t>
            </w:r>
          </w:p>
        </w:tc>
        <w:tc>
          <w:tcPr>
            <w:tcW w:w="597"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29%</w:t>
            </w:r>
          </w:p>
        </w:tc>
        <w:tc>
          <w:tcPr>
            <w:tcW w:w="561"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59%</w:t>
            </w:r>
          </w:p>
        </w:tc>
        <w:tc>
          <w:tcPr>
            <w:tcW w:w="723"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w:t>
            </w:r>
          </w:p>
        </w:tc>
        <w:tc>
          <w:tcPr>
            <w:tcW w:w="594"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30%</w:t>
            </w:r>
          </w:p>
        </w:tc>
      </w:tr>
      <w:tr w:rsidR="00145F6B" w:rsidRPr="00AC163E" w:rsidTr="00AC163E">
        <w:trPr>
          <w:tblHeader/>
          <w:jc w:val="center"/>
        </w:trPr>
        <w:tc>
          <w:tcPr>
            <w:tcW w:w="1226" w:type="pct"/>
            <w:tcBorders>
              <w:left w:val="single" w:sz="12" w:space="0" w:color="auto"/>
              <w:right w:val="single" w:sz="12" w:space="0" w:color="auto"/>
            </w:tcBorders>
            <w:vAlign w:val="center"/>
          </w:tcPr>
          <w:p w:rsidR="00145F6B" w:rsidRPr="00AC163E" w:rsidRDefault="00145F6B" w:rsidP="00AC163E">
            <w:pPr>
              <w:autoSpaceDE w:val="0"/>
              <w:autoSpaceDN w:val="0"/>
              <w:rPr>
                <w:rFonts w:ascii="Arial Narrow" w:hAnsi="Arial Narrow"/>
                <w:sz w:val="22"/>
                <w:szCs w:val="22"/>
                <w:lang w:bidi="bn-IN"/>
              </w:rPr>
            </w:pPr>
            <w:r w:rsidRPr="00AC163E">
              <w:rPr>
                <w:rFonts w:ascii="Arial Narrow" w:hAnsi="Arial Narrow"/>
                <w:sz w:val="22"/>
                <w:szCs w:val="22"/>
                <w:lang w:bidi="bn-IN"/>
              </w:rPr>
              <w:t>Les leaders religieux ne devraient pas influencer le vote des électeurs</w:t>
            </w:r>
          </w:p>
        </w:tc>
        <w:tc>
          <w:tcPr>
            <w:tcW w:w="562"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62%</w:t>
            </w:r>
          </w:p>
        </w:tc>
        <w:tc>
          <w:tcPr>
            <w:tcW w:w="737"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11 %</w:t>
            </w:r>
          </w:p>
        </w:tc>
        <w:tc>
          <w:tcPr>
            <w:tcW w:w="597"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16 %</w:t>
            </w:r>
          </w:p>
        </w:tc>
        <w:tc>
          <w:tcPr>
            <w:tcW w:w="561"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65%</w:t>
            </w:r>
          </w:p>
        </w:tc>
        <w:tc>
          <w:tcPr>
            <w:tcW w:w="723"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8%</w:t>
            </w:r>
          </w:p>
        </w:tc>
        <w:tc>
          <w:tcPr>
            <w:tcW w:w="594"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23%</w:t>
            </w:r>
          </w:p>
        </w:tc>
      </w:tr>
      <w:tr w:rsidR="00145F6B" w:rsidRPr="00AC163E" w:rsidTr="00AC163E">
        <w:trPr>
          <w:tblHeader/>
          <w:jc w:val="center"/>
        </w:trPr>
        <w:tc>
          <w:tcPr>
            <w:tcW w:w="1226" w:type="pct"/>
            <w:tcBorders>
              <w:left w:val="single" w:sz="12" w:space="0" w:color="auto"/>
              <w:right w:val="single" w:sz="12" w:space="0" w:color="auto"/>
            </w:tcBorders>
            <w:vAlign w:val="center"/>
          </w:tcPr>
          <w:p w:rsidR="00145F6B" w:rsidRPr="00AC163E" w:rsidRDefault="00145F6B" w:rsidP="00AC163E">
            <w:pPr>
              <w:autoSpaceDE w:val="0"/>
              <w:autoSpaceDN w:val="0"/>
              <w:rPr>
                <w:rFonts w:ascii="Arial Narrow" w:hAnsi="Arial Narrow"/>
                <w:sz w:val="22"/>
                <w:szCs w:val="22"/>
                <w:lang w:bidi="bn-IN"/>
              </w:rPr>
            </w:pPr>
            <w:r w:rsidRPr="00AC163E">
              <w:rPr>
                <w:rFonts w:ascii="Arial Narrow" w:hAnsi="Arial Narrow"/>
                <w:sz w:val="22"/>
                <w:szCs w:val="22"/>
                <w:lang w:bidi="bn-IN"/>
              </w:rPr>
              <w:t>Le Burkina serait meilleur si des gens ayant de solides croyances religieuses occupaient les postes publics</w:t>
            </w:r>
          </w:p>
        </w:tc>
        <w:tc>
          <w:tcPr>
            <w:tcW w:w="562"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53%</w:t>
            </w:r>
          </w:p>
        </w:tc>
        <w:tc>
          <w:tcPr>
            <w:tcW w:w="737"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15%</w:t>
            </w:r>
          </w:p>
        </w:tc>
        <w:tc>
          <w:tcPr>
            <w:tcW w:w="597"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21%</w:t>
            </w:r>
          </w:p>
        </w:tc>
        <w:tc>
          <w:tcPr>
            <w:tcW w:w="561" w:type="pct"/>
            <w:tcBorders>
              <w:lef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69%</w:t>
            </w:r>
          </w:p>
        </w:tc>
        <w:tc>
          <w:tcPr>
            <w:tcW w:w="723" w:type="pct"/>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11%</w:t>
            </w:r>
          </w:p>
        </w:tc>
        <w:tc>
          <w:tcPr>
            <w:tcW w:w="594" w:type="pct"/>
            <w:tcBorders>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15%</w:t>
            </w:r>
          </w:p>
        </w:tc>
      </w:tr>
      <w:tr w:rsidR="00145F6B" w:rsidRPr="00AC163E" w:rsidTr="00AC163E">
        <w:trPr>
          <w:tblHeader/>
          <w:jc w:val="center"/>
        </w:trPr>
        <w:tc>
          <w:tcPr>
            <w:tcW w:w="1226" w:type="pct"/>
            <w:tcBorders>
              <w:left w:val="single" w:sz="12" w:space="0" w:color="auto"/>
              <w:bottom w:val="single" w:sz="12" w:space="0" w:color="auto"/>
              <w:right w:val="single" w:sz="12" w:space="0" w:color="auto"/>
            </w:tcBorders>
            <w:vAlign w:val="center"/>
          </w:tcPr>
          <w:p w:rsidR="00145F6B" w:rsidRPr="00AC163E" w:rsidRDefault="00145F6B" w:rsidP="00AC163E">
            <w:pPr>
              <w:autoSpaceDE w:val="0"/>
              <w:autoSpaceDN w:val="0"/>
              <w:rPr>
                <w:rFonts w:ascii="Arial Narrow" w:hAnsi="Arial Narrow"/>
                <w:sz w:val="22"/>
                <w:szCs w:val="22"/>
                <w:lang w:bidi="bn-IN"/>
              </w:rPr>
            </w:pPr>
            <w:r w:rsidRPr="00AC163E">
              <w:rPr>
                <w:rFonts w:ascii="Arial Narrow" w:hAnsi="Arial Narrow"/>
                <w:sz w:val="22"/>
                <w:szCs w:val="22"/>
                <w:lang w:bidi="bn-IN"/>
              </w:rPr>
              <w:t>Les leaders religieux ne devraient pas influencer les décisions du gouvernement.</w:t>
            </w:r>
          </w:p>
        </w:tc>
        <w:tc>
          <w:tcPr>
            <w:tcW w:w="562" w:type="pct"/>
            <w:tcBorders>
              <w:left w:val="single" w:sz="12" w:space="0" w:color="auto"/>
              <w:bottom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61 %</w:t>
            </w:r>
          </w:p>
        </w:tc>
        <w:tc>
          <w:tcPr>
            <w:tcW w:w="737" w:type="pct"/>
            <w:tcBorders>
              <w:bottom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10%</w:t>
            </w:r>
          </w:p>
        </w:tc>
        <w:tc>
          <w:tcPr>
            <w:tcW w:w="597" w:type="pct"/>
            <w:tcBorders>
              <w:bottom w:val="single" w:sz="12" w:space="0" w:color="auto"/>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16%</w:t>
            </w:r>
          </w:p>
        </w:tc>
        <w:tc>
          <w:tcPr>
            <w:tcW w:w="561" w:type="pct"/>
            <w:tcBorders>
              <w:left w:val="single" w:sz="12" w:space="0" w:color="auto"/>
              <w:bottom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57%</w:t>
            </w:r>
          </w:p>
        </w:tc>
        <w:tc>
          <w:tcPr>
            <w:tcW w:w="723" w:type="pct"/>
            <w:tcBorders>
              <w:bottom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13%</w:t>
            </w:r>
          </w:p>
        </w:tc>
        <w:tc>
          <w:tcPr>
            <w:tcW w:w="594" w:type="pct"/>
            <w:tcBorders>
              <w:bottom w:val="single" w:sz="12" w:space="0" w:color="auto"/>
              <w:right w:val="single" w:sz="12" w:space="0" w:color="auto"/>
            </w:tcBorders>
            <w:vAlign w:val="center"/>
          </w:tcPr>
          <w:p w:rsidR="00145F6B" w:rsidRPr="00AC163E" w:rsidRDefault="00145F6B" w:rsidP="00AC163E">
            <w:pPr>
              <w:autoSpaceDE w:val="0"/>
              <w:autoSpaceDN w:val="0"/>
              <w:jc w:val="center"/>
              <w:rPr>
                <w:rFonts w:ascii="Arial Narrow" w:hAnsi="Arial Narrow"/>
                <w:sz w:val="22"/>
                <w:szCs w:val="22"/>
                <w:lang w:bidi="bn-IN"/>
              </w:rPr>
            </w:pPr>
            <w:r w:rsidRPr="00AC163E">
              <w:rPr>
                <w:rFonts w:ascii="Arial Narrow" w:hAnsi="Arial Narrow"/>
                <w:sz w:val="22"/>
                <w:szCs w:val="22"/>
                <w:lang w:bidi="bn-IN"/>
              </w:rPr>
              <w:t>24%</w:t>
            </w:r>
          </w:p>
        </w:tc>
      </w:tr>
    </w:tbl>
    <w:p w:rsidR="00AC163E" w:rsidRPr="00AC163E" w:rsidRDefault="00AC163E" w:rsidP="00AC163E">
      <w:pPr>
        <w:spacing w:before="240"/>
        <w:rPr>
          <w:rFonts w:ascii="Arial Narrow" w:hAnsi="Arial Narrow"/>
          <w:b/>
          <w:sz w:val="22"/>
          <w:szCs w:val="22"/>
          <w:u w:val="single"/>
          <w:lang w:bidi="bn-IN"/>
        </w:rPr>
      </w:pPr>
      <w:r w:rsidRPr="00AC163E">
        <w:rPr>
          <w:rFonts w:ascii="Arial Narrow" w:hAnsi="Arial Narrow"/>
          <w:b/>
          <w:sz w:val="22"/>
          <w:szCs w:val="22"/>
          <w:u w:val="single"/>
          <w:lang w:bidi="bn-IN"/>
        </w:rPr>
        <w:t>Source: Enquêtes World Values Survey 2007 et CGD 2010.</w:t>
      </w:r>
    </w:p>
    <w:p w:rsidR="00DB617B" w:rsidRPr="00AC163E" w:rsidRDefault="00DB617B" w:rsidP="00AC163E">
      <w:pPr>
        <w:spacing w:before="120"/>
        <w:jc w:val="both"/>
        <w:rPr>
          <w:rFonts w:ascii="Arial Narrow" w:hAnsi="Arial Narrow"/>
          <w:b/>
          <w:sz w:val="22"/>
          <w:szCs w:val="22"/>
        </w:rPr>
      </w:pPr>
    </w:p>
    <w:p w:rsidR="00ED4C89" w:rsidRPr="00AC163E" w:rsidRDefault="00B035A7" w:rsidP="00AC163E">
      <w:pPr>
        <w:spacing w:before="120"/>
        <w:ind w:firstLine="567"/>
        <w:jc w:val="both"/>
        <w:rPr>
          <w:rFonts w:ascii="Arial Narrow" w:hAnsi="Arial Narrow"/>
        </w:rPr>
      </w:pPr>
      <w:r w:rsidRPr="00AC163E">
        <w:rPr>
          <w:rFonts w:ascii="Arial Narrow" w:hAnsi="Arial Narrow"/>
        </w:rPr>
        <w:t xml:space="preserve">On </w:t>
      </w:r>
      <w:r w:rsidR="00AC163E" w:rsidRPr="00AC163E">
        <w:rPr>
          <w:rFonts w:ascii="Arial Narrow" w:hAnsi="Arial Narrow"/>
        </w:rPr>
        <w:t>peut retenir</w:t>
      </w:r>
      <w:r w:rsidRPr="00AC163E">
        <w:rPr>
          <w:rFonts w:ascii="Arial Narrow" w:hAnsi="Arial Narrow"/>
        </w:rPr>
        <w:t xml:space="preserve"> de l’analyse des opinions des Burkinabè sur les valeurs religieuses que l</w:t>
      </w:r>
      <w:r w:rsidR="004426F7" w:rsidRPr="00AC163E">
        <w:rPr>
          <w:rFonts w:ascii="Arial Narrow" w:hAnsi="Arial Narrow"/>
        </w:rPr>
        <w:t xml:space="preserve">e rapport </w:t>
      </w:r>
      <w:r w:rsidR="00ED4C89" w:rsidRPr="00AC163E">
        <w:rPr>
          <w:rFonts w:ascii="Arial Narrow" w:hAnsi="Arial Narrow"/>
        </w:rPr>
        <w:t>à la religion</w:t>
      </w:r>
      <w:r w:rsidRPr="00AC163E">
        <w:rPr>
          <w:rFonts w:ascii="Arial Narrow" w:hAnsi="Arial Narrow"/>
        </w:rPr>
        <w:t xml:space="preserve"> est une donnée qui structure</w:t>
      </w:r>
      <w:r w:rsidR="00F87354" w:rsidRPr="00AC163E">
        <w:rPr>
          <w:rFonts w:ascii="Arial Narrow" w:hAnsi="Arial Narrow"/>
        </w:rPr>
        <w:t xml:space="preserve"> de manière substantielle</w:t>
      </w:r>
      <w:r w:rsidRPr="00AC163E">
        <w:rPr>
          <w:rFonts w:ascii="Arial Narrow" w:hAnsi="Arial Narrow"/>
        </w:rPr>
        <w:t xml:space="preserve"> leurs attitudes. La religion est une des valeurs fondamentales auxquelles les Burkinabè sont attachés</w:t>
      </w:r>
      <w:r w:rsidR="004426F7" w:rsidRPr="00AC163E">
        <w:rPr>
          <w:rFonts w:ascii="Arial Narrow" w:hAnsi="Arial Narrow"/>
        </w:rPr>
        <w:t xml:space="preserve">. La tolérance religieuse </w:t>
      </w:r>
      <w:r w:rsidR="00DB617B" w:rsidRPr="00AC163E">
        <w:rPr>
          <w:rFonts w:ascii="Arial Narrow" w:hAnsi="Arial Narrow"/>
        </w:rPr>
        <w:t xml:space="preserve">bien que largement admise </w:t>
      </w:r>
      <w:r w:rsidR="004426F7" w:rsidRPr="00AC163E">
        <w:rPr>
          <w:rFonts w:ascii="Arial Narrow" w:hAnsi="Arial Narrow"/>
        </w:rPr>
        <w:t xml:space="preserve">tend </w:t>
      </w:r>
      <w:r w:rsidR="00AC163E" w:rsidRPr="00AC163E">
        <w:rPr>
          <w:rFonts w:ascii="Arial Narrow" w:hAnsi="Arial Narrow"/>
        </w:rPr>
        <w:t>relativement</w:t>
      </w:r>
      <w:r w:rsidR="004426F7" w:rsidRPr="00AC163E">
        <w:rPr>
          <w:rFonts w:ascii="Arial Narrow" w:hAnsi="Arial Narrow"/>
        </w:rPr>
        <w:t xml:space="preserve"> à s’effriter</w:t>
      </w:r>
      <w:r w:rsidR="00AC163E" w:rsidRPr="00AC163E">
        <w:rPr>
          <w:rFonts w:ascii="Arial Narrow" w:hAnsi="Arial Narrow"/>
        </w:rPr>
        <w:t>,</w:t>
      </w:r>
      <w:r w:rsidR="004426F7" w:rsidRPr="00AC163E">
        <w:rPr>
          <w:rFonts w:ascii="Arial Narrow" w:hAnsi="Arial Narrow"/>
        </w:rPr>
        <w:t xml:space="preserve"> en contraste avec l’augmentation des pratiques religieuses et un ancrage plus fort des communautés religieuses dans la société. </w:t>
      </w:r>
      <w:r w:rsidR="00DB617B" w:rsidRPr="00AC163E">
        <w:rPr>
          <w:rFonts w:ascii="Arial Narrow" w:hAnsi="Arial Narrow"/>
        </w:rPr>
        <w:t>Ce constat doit donc interpeller</w:t>
      </w:r>
      <w:r w:rsidR="00AC163E" w:rsidRPr="00AC163E">
        <w:rPr>
          <w:rFonts w:ascii="Arial Narrow" w:hAnsi="Arial Narrow"/>
        </w:rPr>
        <w:t>, à commencer par</w:t>
      </w:r>
      <w:r w:rsidR="00DB617B" w:rsidRPr="00AC163E">
        <w:rPr>
          <w:rFonts w:ascii="Arial Narrow" w:hAnsi="Arial Narrow"/>
        </w:rPr>
        <w:t xml:space="preserve"> les leaders religieux, </w:t>
      </w:r>
      <w:r w:rsidR="00AC163E" w:rsidRPr="00AC163E">
        <w:rPr>
          <w:rFonts w:ascii="Arial Narrow" w:hAnsi="Arial Narrow"/>
        </w:rPr>
        <w:t xml:space="preserve">ceux </w:t>
      </w:r>
      <w:r w:rsidR="00DB617B" w:rsidRPr="00AC163E">
        <w:rPr>
          <w:rFonts w:ascii="Arial Narrow" w:hAnsi="Arial Narrow"/>
        </w:rPr>
        <w:t>de la société civil</w:t>
      </w:r>
      <w:r w:rsidR="00AC163E" w:rsidRPr="00AC163E">
        <w:rPr>
          <w:rFonts w:ascii="Arial Narrow" w:hAnsi="Arial Narrow"/>
        </w:rPr>
        <w:t>e et les responsables de l'Etat, qui doivent tous promouvoir les valeurs de tolérance, et éduquer les uns et les autres à pratiquer le culte de leur choix dans le respect des droits et libertés des autres.</w:t>
      </w:r>
      <w:r w:rsidR="00DB617B" w:rsidRPr="00AC163E">
        <w:rPr>
          <w:rFonts w:ascii="Arial Narrow" w:hAnsi="Arial Narrow"/>
        </w:rPr>
        <w:t xml:space="preserve"> </w:t>
      </w:r>
      <w:r w:rsidR="004426F7" w:rsidRPr="00AC163E">
        <w:rPr>
          <w:rFonts w:ascii="Arial Narrow" w:hAnsi="Arial Narrow"/>
        </w:rPr>
        <w:t>En matière politique, si une grande majorité des Burkinabè souhaitent que les valeurs religieuses servent de repères aux gouvernants dans la gestion des affaires publiques</w:t>
      </w:r>
      <w:r w:rsidR="00AC163E" w:rsidRPr="00AC163E">
        <w:rPr>
          <w:rFonts w:ascii="Arial Narrow" w:hAnsi="Arial Narrow"/>
        </w:rPr>
        <w:t>, ils restent en revanche opposés aux interférences des autorités religieuses dans le fonctionnement des institutions démocratiques</w:t>
      </w:r>
      <w:r w:rsidR="004426F7" w:rsidRPr="00AC163E">
        <w:rPr>
          <w:rFonts w:ascii="Arial Narrow" w:hAnsi="Arial Narrow"/>
        </w:rPr>
        <w:t>.</w:t>
      </w:r>
      <w:r w:rsidR="00DB617B" w:rsidRPr="00AC163E">
        <w:rPr>
          <w:rFonts w:ascii="Arial Narrow" w:hAnsi="Arial Narrow"/>
        </w:rPr>
        <w:t xml:space="preserve"> Il reste à savoir comment </w:t>
      </w:r>
      <w:r w:rsidR="00AC163E" w:rsidRPr="00AC163E">
        <w:rPr>
          <w:rFonts w:ascii="Arial Narrow" w:hAnsi="Arial Narrow"/>
        </w:rPr>
        <w:t>concilier ces deux exigences dans le</w:t>
      </w:r>
      <w:r w:rsidR="00DB617B" w:rsidRPr="00AC163E">
        <w:rPr>
          <w:rFonts w:ascii="Arial Narrow" w:hAnsi="Arial Narrow"/>
        </w:rPr>
        <w:t xml:space="preserve"> respect</w:t>
      </w:r>
      <w:r w:rsidR="00AC163E" w:rsidRPr="00AC163E">
        <w:rPr>
          <w:rFonts w:ascii="Arial Narrow" w:hAnsi="Arial Narrow"/>
        </w:rPr>
        <w:t xml:space="preserve"> du</w:t>
      </w:r>
      <w:r w:rsidR="00C23039" w:rsidRPr="00AC163E">
        <w:rPr>
          <w:rFonts w:ascii="Arial Narrow" w:hAnsi="Arial Narrow"/>
        </w:rPr>
        <w:t xml:space="preserve"> principe de laïcité posé par notre Loi fondamentale.</w:t>
      </w:r>
    </w:p>
    <w:sectPr w:rsidR="00ED4C89" w:rsidRPr="00AC163E" w:rsidSect="00145F6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D7" w:rsidRDefault="003E28D7" w:rsidP="003E1BFC">
      <w:r>
        <w:separator/>
      </w:r>
    </w:p>
  </w:endnote>
  <w:endnote w:type="continuationSeparator" w:id="0">
    <w:p w:rsidR="003E28D7" w:rsidRDefault="003E28D7" w:rsidP="003E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EC" w:rsidRDefault="003E28D7" w:rsidP="00145F6B">
    <w:pPr>
      <w:pStyle w:val="Pieddepage"/>
      <w:jc w:val="center"/>
    </w:pPr>
    <w:r>
      <w:fldChar w:fldCharType="begin"/>
    </w:r>
    <w:r>
      <w:instrText xml:space="preserve"> PAGE   \* MERGEFORMAT </w:instrText>
    </w:r>
    <w:r>
      <w:fldChar w:fldCharType="separate"/>
    </w:r>
    <w:r w:rsidR="009523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D7" w:rsidRDefault="003E28D7" w:rsidP="003E1BFC">
      <w:r>
        <w:separator/>
      </w:r>
    </w:p>
  </w:footnote>
  <w:footnote w:type="continuationSeparator" w:id="0">
    <w:p w:rsidR="003E28D7" w:rsidRDefault="003E28D7" w:rsidP="003E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C9C"/>
    <w:multiLevelType w:val="hybridMultilevel"/>
    <w:tmpl w:val="A4584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A133D"/>
    <w:multiLevelType w:val="hybridMultilevel"/>
    <w:tmpl w:val="E166C4BE"/>
    <w:lvl w:ilvl="0" w:tplc="7990EC6C">
      <w:start w:val="1"/>
      <w:numFmt w:val="decimal"/>
      <w:lvlText w:val="%1."/>
      <w:lvlJc w:val="left"/>
      <w:pPr>
        <w:tabs>
          <w:tab w:val="num" w:pos="786"/>
        </w:tabs>
        <w:ind w:left="786" w:hanging="360"/>
      </w:pPr>
      <w:rPr>
        <w:rFonts w:hint="default"/>
      </w:rPr>
    </w:lvl>
    <w:lvl w:ilvl="1" w:tplc="D64220BC">
      <w:start w:val="1"/>
      <w:numFmt w:val="bullet"/>
      <w:lvlText w:val="-"/>
      <w:lvlJc w:val="left"/>
      <w:pPr>
        <w:tabs>
          <w:tab w:val="num" w:pos="1440"/>
        </w:tabs>
        <w:ind w:left="1440" w:hanging="360"/>
      </w:pPr>
      <w:rPr>
        <w:rFonts w:ascii="Garamond" w:eastAsia="Times New Roman" w:hAnsi="Garamond" w:cs="Vrind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06673"/>
    <w:multiLevelType w:val="hybridMultilevel"/>
    <w:tmpl w:val="E166C4BE"/>
    <w:lvl w:ilvl="0" w:tplc="7990EC6C">
      <w:start w:val="1"/>
      <w:numFmt w:val="decimal"/>
      <w:lvlText w:val="%1."/>
      <w:lvlJc w:val="left"/>
      <w:pPr>
        <w:tabs>
          <w:tab w:val="num" w:pos="786"/>
        </w:tabs>
        <w:ind w:left="786" w:hanging="360"/>
      </w:pPr>
      <w:rPr>
        <w:rFonts w:hint="default"/>
      </w:rPr>
    </w:lvl>
    <w:lvl w:ilvl="1" w:tplc="D64220BC">
      <w:start w:val="1"/>
      <w:numFmt w:val="bullet"/>
      <w:lvlText w:val="-"/>
      <w:lvlJc w:val="left"/>
      <w:pPr>
        <w:tabs>
          <w:tab w:val="num" w:pos="1440"/>
        </w:tabs>
        <w:ind w:left="1440" w:hanging="360"/>
      </w:pPr>
      <w:rPr>
        <w:rFonts w:ascii="Garamond" w:eastAsia="Times New Roman" w:hAnsi="Garamond" w:cs="Vrind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B60536"/>
    <w:multiLevelType w:val="hybridMultilevel"/>
    <w:tmpl w:val="FC1C45F2"/>
    <w:lvl w:ilvl="0" w:tplc="B8AE861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D82CE8"/>
    <w:multiLevelType w:val="hybridMultilevel"/>
    <w:tmpl w:val="A0901C58"/>
    <w:lvl w:ilvl="0" w:tplc="C0EA6D9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410935"/>
    <w:multiLevelType w:val="hybridMultilevel"/>
    <w:tmpl w:val="49081D68"/>
    <w:lvl w:ilvl="0" w:tplc="7990EC6C">
      <w:start w:val="1"/>
      <w:numFmt w:val="decimal"/>
      <w:lvlText w:val="%1."/>
      <w:lvlJc w:val="left"/>
      <w:pPr>
        <w:tabs>
          <w:tab w:val="num" w:pos="720"/>
        </w:tabs>
        <w:ind w:left="720" w:hanging="360"/>
      </w:pPr>
      <w:rPr>
        <w:rFonts w:hint="default"/>
      </w:rPr>
    </w:lvl>
    <w:lvl w:ilvl="1" w:tplc="D64220BC">
      <w:start w:val="1"/>
      <w:numFmt w:val="bullet"/>
      <w:lvlText w:val="-"/>
      <w:lvlJc w:val="left"/>
      <w:pPr>
        <w:tabs>
          <w:tab w:val="num" w:pos="1440"/>
        </w:tabs>
        <w:ind w:left="1440" w:hanging="360"/>
      </w:pPr>
      <w:rPr>
        <w:rFonts w:ascii="Garamond" w:eastAsia="Times New Roman" w:hAnsi="Garamond" w:cs="Vrind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4B0340"/>
    <w:multiLevelType w:val="hybridMultilevel"/>
    <w:tmpl w:val="B512EFD4"/>
    <w:lvl w:ilvl="0" w:tplc="7990EC6C">
      <w:start w:val="1"/>
      <w:numFmt w:val="decimal"/>
      <w:lvlText w:val="%1."/>
      <w:lvlJc w:val="left"/>
      <w:pPr>
        <w:tabs>
          <w:tab w:val="num" w:pos="720"/>
        </w:tabs>
        <w:ind w:left="720" w:hanging="360"/>
      </w:pPr>
      <w:rPr>
        <w:rFonts w:hint="default"/>
      </w:rPr>
    </w:lvl>
    <w:lvl w:ilvl="1" w:tplc="D64220BC">
      <w:start w:val="1"/>
      <w:numFmt w:val="bullet"/>
      <w:lvlText w:val="-"/>
      <w:lvlJc w:val="left"/>
      <w:pPr>
        <w:tabs>
          <w:tab w:val="num" w:pos="1440"/>
        </w:tabs>
        <w:ind w:left="1440" w:hanging="360"/>
      </w:pPr>
      <w:rPr>
        <w:rFonts w:ascii="Garamond" w:eastAsia="Times New Roman" w:hAnsi="Garamond" w:cs="Vrind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B358D5"/>
    <w:multiLevelType w:val="hybridMultilevel"/>
    <w:tmpl w:val="498027FC"/>
    <w:lvl w:ilvl="0" w:tplc="A732AEE2">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F03B34"/>
    <w:multiLevelType w:val="hybridMultilevel"/>
    <w:tmpl w:val="FC1C45F2"/>
    <w:lvl w:ilvl="0" w:tplc="B8AE861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CA3DC3"/>
    <w:multiLevelType w:val="hybridMultilevel"/>
    <w:tmpl w:val="98A6B580"/>
    <w:lvl w:ilvl="0" w:tplc="7990EC6C">
      <w:start w:val="1"/>
      <w:numFmt w:val="decimal"/>
      <w:lvlText w:val="%1."/>
      <w:lvlJc w:val="left"/>
      <w:pPr>
        <w:tabs>
          <w:tab w:val="num" w:pos="720"/>
        </w:tabs>
        <w:ind w:left="720" w:hanging="360"/>
      </w:pPr>
      <w:rPr>
        <w:rFonts w:hint="default"/>
      </w:rPr>
    </w:lvl>
    <w:lvl w:ilvl="1" w:tplc="D64220BC">
      <w:start w:val="1"/>
      <w:numFmt w:val="bullet"/>
      <w:lvlText w:val="-"/>
      <w:lvlJc w:val="left"/>
      <w:pPr>
        <w:tabs>
          <w:tab w:val="num" w:pos="1440"/>
        </w:tabs>
        <w:ind w:left="1440" w:hanging="360"/>
      </w:pPr>
      <w:rPr>
        <w:rFonts w:ascii="Garamond" w:eastAsia="Times New Roman" w:hAnsi="Garamond" w:cs="Vrind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C15B7A"/>
    <w:multiLevelType w:val="hybridMultilevel"/>
    <w:tmpl w:val="76C4A876"/>
    <w:lvl w:ilvl="0" w:tplc="A732AEE2">
      <w:start w:val="1"/>
      <w:numFmt w:val="upperRoman"/>
      <w:lvlText w:val="%1."/>
      <w:lvlJc w:val="center"/>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FEA12CB"/>
    <w:multiLevelType w:val="hybridMultilevel"/>
    <w:tmpl w:val="38C2C3C0"/>
    <w:lvl w:ilvl="0" w:tplc="BFA82B6E">
      <w:numFmt w:val="bullet"/>
      <w:lvlText w:val="-"/>
      <w:lvlJc w:val="left"/>
      <w:pPr>
        <w:ind w:left="360" w:hanging="360"/>
      </w:pPr>
      <w:rPr>
        <w:rFonts w:ascii="Arial" w:eastAsia="Times New Roman"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8"/>
  </w:num>
  <w:num w:numId="6">
    <w:abstractNumId w:val="3"/>
  </w:num>
  <w:num w:numId="7">
    <w:abstractNumId w:val="11"/>
  </w:num>
  <w:num w:numId="8">
    <w:abstractNumId w:val="2"/>
  </w:num>
  <w:num w:numId="9">
    <w:abstractNumId w:val="0"/>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DD"/>
    <w:rsid w:val="000054CD"/>
    <w:rsid w:val="00013DAC"/>
    <w:rsid w:val="000426CE"/>
    <w:rsid w:val="000520E2"/>
    <w:rsid w:val="0006633A"/>
    <w:rsid w:val="00076780"/>
    <w:rsid w:val="000A2AD2"/>
    <w:rsid w:val="000D7A05"/>
    <w:rsid w:val="000E658F"/>
    <w:rsid w:val="000F6570"/>
    <w:rsid w:val="00145F6B"/>
    <w:rsid w:val="001852C4"/>
    <w:rsid w:val="001D2036"/>
    <w:rsid w:val="001F28DD"/>
    <w:rsid w:val="0022298B"/>
    <w:rsid w:val="0025562F"/>
    <w:rsid w:val="002677BA"/>
    <w:rsid w:val="002830F1"/>
    <w:rsid w:val="00355AC6"/>
    <w:rsid w:val="003B1CEE"/>
    <w:rsid w:val="003B60DD"/>
    <w:rsid w:val="003B72F6"/>
    <w:rsid w:val="003C1161"/>
    <w:rsid w:val="003E1BFC"/>
    <w:rsid w:val="003E28D7"/>
    <w:rsid w:val="00400CF4"/>
    <w:rsid w:val="004417F8"/>
    <w:rsid w:val="004426F7"/>
    <w:rsid w:val="0047187C"/>
    <w:rsid w:val="004D173C"/>
    <w:rsid w:val="004E14FE"/>
    <w:rsid w:val="00543E24"/>
    <w:rsid w:val="00563E39"/>
    <w:rsid w:val="00621E1C"/>
    <w:rsid w:val="00622DB6"/>
    <w:rsid w:val="0062766F"/>
    <w:rsid w:val="006341A9"/>
    <w:rsid w:val="00667834"/>
    <w:rsid w:val="00674092"/>
    <w:rsid w:val="00680CBD"/>
    <w:rsid w:val="006A506F"/>
    <w:rsid w:val="00714ED6"/>
    <w:rsid w:val="00730BDB"/>
    <w:rsid w:val="007537CC"/>
    <w:rsid w:val="00772D94"/>
    <w:rsid w:val="00794156"/>
    <w:rsid w:val="007C5937"/>
    <w:rsid w:val="007F1D91"/>
    <w:rsid w:val="0086234D"/>
    <w:rsid w:val="00885D42"/>
    <w:rsid w:val="008B1CCA"/>
    <w:rsid w:val="008C7CC3"/>
    <w:rsid w:val="008F05BA"/>
    <w:rsid w:val="00901E63"/>
    <w:rsid w:val="00936AEC"/>
    <w:rsid w:val="0094434F"/>
    <w:rsid w:val="00947ACD"/>
    <w:rsid w:val="009523F0"/>
    <w:rsid w:val="009558E9"/>
    <w:rsid w:val="009D2343"/>
    <w:rsid w:val="00A07885"/>
    <w:rsid w:val="00A161D9"/>
    <w:rsid w:val="00A91D09"/>
    <w:rsid w:val="00AC0937"/>
    <w:rsid w:val="00AC163E"/>
    <w:rsid w:val="00AC5D4B"/>
    <w:rsid w:val="00AE1F86"/>
    <w:rsid w:val="00AF12D2"/>
    <w:rsid w:val="00AF4888"/>
    <w:rsid w:val="00B0189C"/>
    <w:rsid w:val="00B035A7"/>
    <w:rsid w:val="00B3185B"/>
    <w:rsid w:val="00B341FE"/>
    <w:rsid w:val="00BE2755"/>
    <w:rsid w:val="00C23039"/>
    <w:rsid w:val="00C3660F"/>
    <w:rsid w:val="00C652CB"/>
    <w:rsid w:val="00C66FD9"/>
    <w:rsid w:val="00C763EE"/>
    <w:rsid w:val="00CA22DA"/>
    <w:rsid w:val="00D77E31"/>
    <w:rsid w:val="00D915BB"/>
    <w:rsid w:val="00DB1217"/>
    <w:rsid w:val="00DB617B"/>
    <w:rsid w:val="00DD71E2"/>
    <w:rsid w:val="00DF7943"/>
    <w:rsid w:val="00E27141"/>
    <w:rsid w:val="00E64AFD"/>
    <w:rsid w:val="00E70248"/>
    <w:rsid w:val="00E80CC6"/>
    <w:rsid w:val="00E97B13"/>
    <w:rsid w:val="00EC6B53"/>
    <w:rsid w:val="00ED10CE"/>
    <w:rsid w:val="00ED4C89"/>
    <w:rsid w:val="00F0491E"/>
    <w:rsid w:val="00F20EB0"/>
    <w:rsid w:val="00F23661"/>
    <w:rsid w:val="00F319D3"/>
    <w:rsid w:val="00F35B9B"/>
    <w:rsid w:val="00F87354"/>
    <w:rsid w:val="00FB5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DD"/>
    <w:rPr>
      <w:rFonts w:ascii="Times New Roman" w:eastAsia="MS Mincho" w:hAnsi="Times New Roman"/>
      <w:sz w:val="24"/>
      <w:szCs w:val="24"/>
      <w:lang w:eastAsia="ja-JP"/>
    </w:rPr>
  </w:style>
  <w:style w:type="paragraph" w:styleId="Titre4">
    <w:name w:val="heading 4"/>
    <w:basedOn w:val="Normal"/>
    <w:next w:val="Normal"/>
    <w:link w:val="Titre4Car"/>
    <w:uiPriority w:val="9"/>
    <w:qFormat/>
    <w:rsid w:val="003B60DD"/>
    <w:pPr>
      <w:keepNext/>
      <w:tabs>
        <w:tab w:val="center" w:pos="7200"/>
        <w:tab w:val="center" w:pos="8640"/>
      </w:tabs>
      <w:outlineLvl w:val="3"/>
    </w:pPr>
    <w:rPr>
      <w:rFonts w:ascii="Courier" w:eastAsia="Times New Roman" w:hAnsi="Courier"/>
      <w:b/>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B60DD"/>
    <w:pPr>
      <w:tabs>
        <w:tab w:val="center" w:pos="4320"/>
        <w:tab w:val="right" w:pos="8640"/>
      </w:tabs>
    </w:pPr>
    <w:rPr>
      <w:lang w:val="en-US"/>
    </w:rPr>
  </w:style>
  <w:style w:type="character" w:customStyle="1" w:styleId="PieddepageCar">
    <w:name w:val="Pied de page Car"/>
    <w:link w:val="Pieddepage"/>
    <w:uiPriority w:val="99"/>
    <w:rsid w:val="003B60DD"/>
    <w:rPr>
      <w:rFonts w:ascii="Times New Roman" w:eastAsia="MS Mincho" w:hAnsi="Times New Roman" w:cs="Times New Roman"/>
      <w:sz w:val="24"/>
      <w:szCs w:val="24"/>
      <w:lang w:val="en-US" w:eastAsia="ja-JP"/>
    </w:rPr>
  </w:style>
  <w:style w:type="paragraph" w:styleId="Paragraphedeliste">
    <w:name w:val="List Paragraph"/>
    <w:basedOn w:val="Normal"/>
    <w:uiPriority w:val="34"/>
    <w:qFormat/>
    <w:rsid w:val="003B60DD"/>
    <w:pPr>
      <w:ind w:left="720"/>
      <w:contextualSpacing/>
    </w:pPr>
  </w:style>
  <w:style w:type="paragraph" w:styleId="Textebrut">
    <w:name w:val="Plain Text"/>
    <w:basedOn w:val="Normal"/>
    <w:link w:val="TextebrutCar"/>
    <w:rsid w:val="003B60DD"/>
    <w:rPr>
      <w:rFonts w:ascii="Courier New" w:eastAsia="Times New Roman" w:hAnsi="Courier New"/>
      <w:sz w:val="20"/>
      <w:szCs w:val="20"/>
      <w:lang w:val="en-US"/>
    </w:rPr>
  </w:style>
  <w:style w:type="character" w:customStyle="1" w:styleId="TextebrutCar">
    <w:name w:val="Texte brut Car"/>
    <w:link w:val="Textebrut"/>
    <w:rsid w:val="003B60DD"/>
    <w:rPr>
      <w:rFonts w:ascii="Courier New" w:eastAsia="Times New Roman" w:hAnsi="Courier New" w:cs="Times New Roman"/>
      <w:sz w:val="20"/>
      <w:szCs w:val="20"/>
      <w:lang w:val="en-US"/>
    </w:rPr>
  </w:style>
  <w:style w:type="character" w:customStyle="1" w:styleId="Titre4Car">
    <w:name w:val="Titre 4 Car"/>
    <w:link w:val="Titre4"/>
    <w:uiPriority w:val="9"/>
    <w:rsid w:val="003B60DD"/>
    <w:rPr>
      <w:rFonts w:ascii="Courier" w:eastAsia="Times New Roman" w:hAnsi="Courier" w:cs="Times New Roman"/>
      <w:b/>
      <w:sz w:val="20"/>
      <w:szCs w:val="20"/>
      <w:lang w:val="en-US"/>
    </w:rPr>
  </w:style>
  <w:style w:type="paragraph" w:styleId="Notedebasdepage">
    <w:name w:val="footnote text"/>
    <w:basedOn w:val="Normal"/>
    <w:link w:val="NotedebasdepageCar"/>
    <w:uiPriority w:val="99"/>
    <w:unhideWhenUsed/>
    <w:rsid w:val="003E1BFC"/>
    <w:rPr>
      <w:sz w:val="20"/>
      <w:szCs w:val="20"/>
    </w:rPr>
  </w:style>
  <w:style w:type="character" w:customStyle="1" w:styleId="NotedebasdepageCar">
    <w:name w:val="Note de bas de page Car"/>
    <w:link w:val="Notedebasdepage"/>
    <w:uiPriority w:val="99"/>
    <w:rsid w:val="003E1BFC"/>
    <w:rPr>
      <w:rFonts w:ascii="Times New Roman" w:eastAsia="MS Mincho" w:hAnsi="Times New Roman"/>
      <w:lang w:eastAsia="ja-JP"/>
    </w:rPr>
  </w:style>
  <w:style w:type="character" w:styleId="Appelnotedebasdep">
    <w:name w:val="footnote reference"/>
    <w:uiPriority w:val="99"/>
    <w:semiHidden/>
    <w:unhideWhenUsed/>
    <w:rsid w:val="003E1BFC"/>
    <w:rPr>
      <w:vertAlign w:val="superscript"/>
    </w:rPr>
  </w:style>
  <w:style w:type="paragraph" w:styleId="En-tte">
    <w:name w:val="header"/>
    <w:basedOn w:val="Normal"/>
    <w:link w:val="En-tteCar"/>
    <w:uiPriority w:val="99"/>
    <w:semiHidden/>
    <w:unhideWhenUsed/>
    <w:rsid w:val="00936AEC"/>
    <w:pPr>
      <w:tabs>
        <w:tab w:val="center" w:pos="4536"/>
        <w:tab w:val="right" w:pos="9072"/>
      </w:tabs>
    </w:pPr>
  </w:style>
  <w:style w:type="character" w:customStyle="1" w:styleId="En-tteCar">
    <w:name w:val="En-tête Car"/>
    <w:link w:val="En-tte"/>
    <w:uiPriority w:val="99"/>
    <w:semiHidden/>
    <w:rsid w:val="00936AEC"/>
    <w:rPr>
      <w:rFonts w:ascii="Times New Roman" w:eastAsia="MS Mincho" w:hAnsi="Times New Roman"/>
      <w:sz w:val="24"/>
      <w:szCs w:val="24"/>
      <w:lang w:eastAsia="ja-JP"/>
    </w:rPr>
  </w:style>
  <w:style w:type="character" w:styleId="Lienhypertexte">
    <w:name w:val="Hyperlink"/>
    <w:uiPriority w:val="99"/>
    <w:unhideWhenUsed/>
    <w:rsid w:val="008F05BA"/>
    <w:rPr>
      <w:color w:val="0000FF"/>
      <w:u w:val="single"/>
    </w:rPr>
  </w:style>
  <w:style w:type="paragraph" w:styleId="Textedebulles">
    <w:name w:val="Balloon Text"/>
    <w:basedOn w:val="Normal"/>
    <w:link w:val="TextedebullesCar"/>
    <w:uiPriority w:val="99"/>
    <w:semiHidden/>
    <w:unhideWhenUsed/>
    <w:rsid w:val="0006633A"/>
    <w:rPr>
      <w:rFonts w:ascii="Tahoma" w:hAnsi="Tahoma" w:cs="Tahoma"/>
      <w:sz w:val="16"/>
      <w:szCs w:val="16"/>
    </w:rPr>
  </w:style>
  <w:style w:type="character" w:customStyle="1" w:styleId="TextedebullesCar">
    <w:name w:val="Texte de bulles Car"/>
    <w:basedOn w:val="Policepardfaut"/>
    <w:link w:val="Textedebulles"/>
    <w:uiPriority w:val="99"/>
    <w:semiHidden/>
    <w:rsid w:val="0006633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DD"/>
    <w:rPr>
      <w:rFonts w:ascii="Times New Roman" w:eastAsia="MS Mincho" w:hAnsi="Times New Roman"/>
      <w:sz w:val="24"/>
      <w:szCs w:val="24"/>
      <w:lang w:eastAsia="ja-JP"/>
    </w:rPr>
  </w:style>
  <w:style w:type="paragraph" w:styleId="Titre4">
    <w:name w:val="heading 4"/>
    <w:basedOn w:val="Normal"/>
    <w:next w:val="Normal"/>
    <w:link w:val="Titre4Car"/>
    <w:uiPriority w:val="9"/>
    <w:qFormat/>
    <w:rsid w:val="003B60DD"/>
    <w:pPr>
      <w:keepNext/>
      <w:tabs>
        <w:tab w:val="center" w:pos="7200"/>
        <w:tab w:val="center" w:pos="8640"/>
      </w:tabs>
      <w:outlineLvl w:val="3"/>
    </w:pPr>
    <w:rPr>
      <w:rFonts w:ascii="Courier" w:eastAsia="Times New Roman" w:hAnsi="Courier"/>
      <w:b/>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B60DD"/>
    <w:pPr>
      <w:tabs>
        <w:tab w:val="center" w:pos="4320"/>
        <w:tab w:val="right" w:pos="8640"/>
      </w:tabs>
    </w:pPr>
    <w:rPr>
      <w:lang w:val="en-US"/>
    </w:rPr>
  </w:style>
  <w:style w:type="character" w:customStyle="1" w:styleId="PieddepageCar">
    <w:name w:val="Pied de page Car"/>
    <w:link w:val="Pieddepage"/>
    <w:uiPriority w:val="99"/>
    <w:rsid w:val="003B60DD"/>
    <w:rPr>
      <w:rFonts w:ascii="Times New Roman" w:eastAsia="MS Mincho" w:hAnsi="Times New Roman" w:cs="Times New Roman"/>
      <w:sz w:val="24"/>
      <w:szCs w:val="24"/>
      <w:lang w:val="en-US" w:eastAsia="ja-JP"/>
    </w:rPr>
  </w:style>
  <w:style w:type="paragraph" w:styleId="Paragraphedeliste">
    <w:name w:val="List Paragraph"/>
    <w:basedOn w:val="Normal"/>
    <w:uiPriority w:val="34"/>
    <w:qFormat/>
    <w:rsid w:val="003B60DD"/>
    <w:pPr>
      <w:ind w:left="720"/>
      <w:contextualSpacing/>
    </w:pPr>
  </w:style>
  <w:style w:type="paragraph" w:styleId="Textebrut">
    <w:name w:val="Plain Text"/>
    <w:basedOn w:val="Normal"/>
    <w:link w:val="TextebrutCar"/>
    <w:rsid w:val="003B60DD"/>
    <w:rPr>
      <w:rFonts w:ascii="Courier New" w:eastAsia="Times New Roman" w:hAnsi="Courier New"/>
      <w:sz w:val="20"/>
      <w:szCs w:val="20"/>
      <w:lang w:val="en-US"/>
    </w:rPr>
  </w:style>
  <w:style w:type="character" w:customStyle="1" w:styleId="TextebrutCar">
    <w:name w:val="Texte brut Car"/>
    <w:link w:val="Textebrut"/>
    <w:rsid w:val="003B60DD"/>
    <w:rPr>
      <w:rFonts w:ascii="Courier New" w:eastAsia="Times New Roman" w:hAnsi="Courier New" w:cs="Times New Roman"/>
      <w:sz w:val="20"/>
      <w:szCs w:val="20"/>
      <w:lang w:val="en-US"/>
    </w:rPr>
  </w:style>
  <w:style w:type="character" w:customStyle="1" w:styleId="Titre4Car">
    <w:name w:val="Titre 4 Car"/>
    <w:link w:val="Titre4"/>
    <w:uiPriority w:val="9"/>
    <w:rsid w:val="003B60DD"/>
    <w:rPr>
      <w:rFonts w:ascii="Courier" w:eastAsia="Times New Roman" w:hAnsi="Courier" w:cs="Times New Roman"/>
      <w:b/>
      <w:sz w:val="20"/>
      <w:szCs w:val="20"/>
      <w:lang w:val="en-US"/>
    </w:rPr>
  </w:style>
  <w:style w:type="paragraph" w:styleId="Notedebasdepage">
    <w:name w:val="footnote text"/>
    <w:basedOn w:val="Normal"/>
    <w:link w:val="NotedebasdepageCar"/>
    <w:uiPriority w:val="99"/>
    <w:unhideWhenUsed/>
    <w:rsid w:val="003E1BFC"/>
    <w:rPr>
      <w:sz w:val="20"/>
      <w:szCs w:val="20"/>
    </w:rPr>
  </w:style>
  <w:style w:type="character" w:customStyle="1" w:styleId="NotedebasdepageCar">
    <w:name w:val="Note de bas de page Car"/>
    <w:link w:val="Notedebasdepage"/>
    <w:uiPriority w:val="99"/>
    <w:rsid w:val="003E1BFC"/>
    <w:rPr>
      <w:rFonts w:ascii="Times New Roman" w:eastAsia="MS Mincho" w:hAnsi="Times New Roman"/>
      <w:lang w:eastAsia="ja-JP"/>
    </w:rPr>
  </w:style>
  <w:style w:type="character" w:styleId="Appelnotedebasdep">
    <w:name w:val="footnote reference"/>
    <w:uiPriority w:val="99"/>
    <w:semiHidden/>
    <w:unhideWhenUsed/>
    <w:rsid w:val="003E1BFC"/>
    <w:rPr>
      <w:vertAlign w:val="superscript"/>
    </w:rPr>
  </w:style>
  <w:style w:type="paragraph" w:styleId="En-tte">
    <w:name w:val="header"/>
    <w:basedOn w:val="Normal"/>
    <w:link w:val="En-tteCar"/>
    <w:uiPriority w:val="99"/>
    <w:semiHidden/>
    <w:unhideWhenUsed/>
    <w:rsid w:val="00936AEC"/>
    <w:pPr>
      <w:tabs>
        <w:tab w:val="center" w:pos="4536"/>
        <w:tab w:val="right" w:pos="9072"/>
      </w:tabs>
    </w:pPr>
  </w:style>
  <w:style w:type="character" w:customStyle="1" w:styleId="En-tteCar">
    <w:name w:val="En-tête Car"/>
    <w:link w:val="En-tte"/>
    <w:uiPriority w:val="99"/>
    <w:semiHidden/>
    <w:rsid w:val="00936AEC"/>
    <w:rPr>
      <w:rFonts w:ascii="Times New Roman" w:eastAsia="MS Mincho" w:hAnsi="Times New Roman"/>
      <w:sz w:val="24"/>
      <w:szCs w:val="24"/>
      <w:lang w:eastAsia="ja-JP"/>
    </w:rPr>
  </w:style>
  <w:style w:type="character" w:styleId="Lienhypertexte">
    <w:name w:val="Hyperlink"/>
    <w:uiPriority w:val="99"/>
    <w:unhideWhenUsed/>
    <w:rsid w:val="008F05BA"/>
    <w:rPr>
      <w:color w:val="0000FF"/>
      <w:u w:val="single"/>
    </w:rPr>
  </w:style>
  <w:style w:type="paragraph" w:styleId="Textedebulles">
    <w:name w:val="Balloon Text"/>
    <w:basedOn w:val="Normal"/>
    <w:link w:val="TextedebullesCar"/>
    <w:uiPriority w:val="99"/>
    <w:semiHidden/>
    <w:unhideWhenUsed/>
    <w:rsid w:val="0006633A"/>
    <w:rPr>
      <w:rFonts w:ascii="Tahoma" w:hAnsi="Tahoma" w:cs="Tahoma"/>
      <w:sz w:val="16"/>
      <w:szCs w:val="16"/>
    </w:rPr>
  </w:style>
  <w:style w:type="character" w:customStyle="1" w:styleId="TextedebullesCar">
    <w:name w:val="Texte de bulles Car"/>
    <w:basedOn w:val="Policepardfaut"/>
    <w:link w:val="Textedebulles"/>
    <w:uiPriority w:val="99"/>
    <w:semiHidden/>
    <w:rsid w:val="0006633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CYRIAQUE</cp:lastModifiedBy>
  <cp:revision>2</cp:revision>
  <cp:lastPrinted>2012-09-25T14:21:00Z</cp:lastPrinted>
  <dcterms:created xsi:type="dcterms:W3CDTF">2012-10-03T17:38:00Z</dcterms:created>
  <dcterms:modified xsi:type="dcterms:W3CDTF">2012-10-03T17:38:00Z</dcterms:modified>
</cp:coreProperties>
</file>